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BF1E697">
      <w:pPr>
        <w:ind w:right="-13"/>
        <w:jc w:val="center"/>
        <w:rPr>
          <w:sz w:val="26"/>
          <w:szCs w:val="26"/>
        </w:rPr>
      </w:pPr>
      <w:r>
        <w:rPr>
          <w:b/>
          <w:bCs/>
          <w:sz w:val="26"/>
          <w:szCs w:val="26"/>
        </w:rPr>
        <w:t>Phụ lục II</w:t>
      </w:r>
    </w:p>
    <w:p w14:paraId="32B8C3FA">
      <w:pPr>
        <w:ind w:right="-13"/>
        <w:jc w:val="center"/>
        <w:rPr>
          <w:sz w:val="26"/>
          <w:szCs w:val="26"/>
        </w:rPr>
      </w:pPr>
      <w:r>
        <w:rPr>
          <w:b/>
          <w:bCs/>
          <w:sz w:val="26"/>
          <w:szCs w:val="26"/>
        </w:rPr>
        <w:t>DANH MỤC</w:t>
      </w:r>
    </w:p>
    <w:p w14:paraId="4EF758F3">
      <w:pPr>
        <w:shd w:val="clear" w:color="auto" w:fill="FFFFFF"/>
        <w:spacing w:after="120"/>
        <w:jc w:val="center"/>
        <w:rPr>
          <w:color w:val="000000"/>
        </w:rPr>
      </w:pPr>
      <w:r>
        <w:rPr>
          <w:b/>
          <w:bCs/>
        </w:rPr>
        <w:t>Văn bản quy phạm pháp luật đề xuất sửa đổi, bổ sung; thay thế; bãi bỏ một phần</w:t>
      </w:r>
    </w:p>
    <w:p w14:paraId="39CC05B5">
      <w:pPr>
        <w:tabs>
          <w:tab w:val="right" w:pos="6804"/>
        </w:tabs>
        <w:jc w:val="center"/>
        <w:rPr>
          <w:sz w:val="26"/>
          <w:szCs w:val="26"/>
          <w:vertAlign w:val="superscript"/>
        </w:rPr>
      </w:pPr>
      <w:r>
        <w:rPr>
          <w:b/>
          <w:bCs/>
          <w:sz w:val="26"/>
          <w:szCs w:val="26"/>
        </w:rPr>
        <w:t xml:space="preserve">Cơ quan rà soát: Bộ Khoa học và Công nghệ </w:t>
      </w:r>
    </w:p>
    <w:p w14:paraId="19286C6A">
      <w:pPr>
        <w:tabs>
          <w:tab w:val="right" w:leader="dot" w:pos="6804"/>
        </w:tabs>
        <w:jc w:val="center"/>
        <w:rPr>
          <w:bCs/>
          <w:i/>
          <w:iCs/>
          <w:sz w:val="26"/>
          <w:szCs w:val="26"/>
        </w:rPr>
      </w:pPr>
      <w:bookmarkStart w:id="0" w:name="_heading=h.b26sm39doa7" w:colFirst="0" w:colLast="0"/>
      <w:bookmarkEnd w:id="0"/>
      <w:bookmarkStart w:id="1" w:name="_Hlk235796749"/>
      <w:r>
        <w:rPr>
          <w:bCs/>
          <w:i/>
          <w:iCs/>
          <w:sz w:val="26"/>
          <w:szCs w:val="26"/>
        </w:rPr>
        <w:t xml:space="preserve">(Kèm theo </w:t>
      </w:r>
      <w:r>
        <w:rPr>
          <w:rFonts w:hint="default"/>
          <w:bCs/>
          <w:i/>
          <w:iCs/>
          <w:sz w:val="26"/>
          <w:szCs w:val="26"/>
          <w:lang w:val="en-US"/>
        </w:rPr>
        <w:t>Công văn</w:t>
      </w:r>
      <w:r>
        <w:rPr>
          <w:bCs/>
          <w:i/>
          <w:iCs/>
          <w:sz w:val="26"/>
          <w:szCs w:val="26"/>
        </w:rPr>
        <w:t xml:space="preserve"> số                ngày      tháng      năm 2026 của Bộ</w:t>
      </w:r>
      <w:r>
        <w:rPr>
          <w:rFonts w:hint="default"/>
          <w:bCs/>
          <w:i/>
          <w:iCs/>
          <w:sz w:val="26"/>
          <w:szCs w:val="26"/>
        </w:rPr>
        <w:t xml:space="preserve"> Khoa học và Công nghệ </w:t>
      </w:r>
      <w:r>
        <w:rPr>
          <w:bCs/>
          <w:i/>
          <w:iCs/>
          <w:sz w:val="26"/>
          <w:szCs w:val="26"/>
        </w:rPr>
        <w:t>)</w:t>
      </w:r>
    </w:p>
    <w:p w14:paraId="22C83095">
      <w:pPr>
        <w:tabs>
          <w:tab w:val="right" w:pos="6804"/>
        </w:tabs>
        <w:jc w:val="center"/>
        <w:rPr>
          <w:bCs/>
          <w:i/>
          <w:iCs/>
          <w:sz w:val="26"/>
          <w:szCs w:val="26"/>
          <w:vertAlign w:val="superscript"/>
        </w:rPr>
      </w:pPr>
      <w:r>
        <w:rPr>
          <w:rFonts w:hint="default"/>
          <w:bCs/>
          <w:i/>
          <w:iCs/>
          <w:sz w:val="26"/>
          <w:szCs w:val="26"/>
          <w:vertAlign w:val="superscript"/>
          <w:lang w:val="en-US"/>
        </w:rPr>
        <w:t>____________________</w:t>
      </w:r>
    </w:p>
    <w:bookmarkEnd w:id="1"/>
    <w:p w14:paraId="1F4AA36B">
      <w:pPr>
        <w:jc w:val="both"/>
        <w:rPr>
          <w:bCs/>
          <w:i/>
          <w:iCs/>
          <w:sz w:val="26"/>
          <w:szCs w:val="26"/>
        </w:rPr>
      </w:pPr>
    </w:p>
    <w:p w14:paraId="5E048F33">
      <w:pPr>
        <w:jc w:val="center"/>
        <w:rPr>
          <w:sz w:val="26"/>
          <w:szCs w:val="26"/>
        </w:rPr>
      </w:pPr>
    </w:p>
    <w:tbl>
      <w:tblPr>
        <w:tblStyle w:val="19"/>
        <w:tblW w:w="1564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704"/>
        <w:gridCol w:w="1843"/>
        <w:gridCol w:w="1417"/>
        <w:gridCol w:w="4051"/>
        <w:gridCol w:w="1394"/>
        <w:gridCol w:w="1275"/>
        <w:gridCol w:w="1245"/>
        <w:gridCol w:w="1308"/>
        <w:gridCol w:w="2410"/>
      </w:tblGrid>
      <w:tr w14:paraId="49FDD9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54" w:hRule="atLeast"/>
          <w:tblHeader/>
          <w:jc w:val="center"/>
        </w:trPr>
        <w:tc>
          <w:tcPr>
            <w:tcW w:w="704" w:type="dxa"/>
            <w:vAlign w:val="center"/>
          </w:tcPr>
          <w:p w14:paraId="46CB1D9E">
            <w:pPr>
              <w:jc w:val="center"/>
              <w:rPr>
                <w:color w:val="auto"/>
                <w:sz w:val="22"/>
                <w:szCs w:val="22"/>
              </w:rPr>
            </w:pPr>
            <w:r>
              <w:rPr>
                <w:b/>
                <w:bCs/>
                <w:color w:val="auto"/>
                <w:sz w:val="22"/>
                <w:szCs w:val="22"/>
              </w:rPr>
              <w:t>TT</w:t>
            </w:r>
          </w:p>
        </w:tc>
        <w:tc>
          <w:tcPr>
            <w:tcW w:w="1843" w:type="dxa"/>
            <w:vAlign w:val="center"/>
          </w:tcPr>
          <w:p w14:paraId="17350F12">
            <w:pPr>
              <w:jc w:val="center"/>
              <w:rPr>
                <w:color w:val="auto"/>
                <w:sz w:val="22"/>
                <w:szCs w:val="22"/>
              </w:rPr>
            </w:pPr>
            <w:r>
              <w:rPr>
                <w:b/>
                <w:bCs/>
                <w:color w:val="auto"/>
                <w:sz w:val="22"/>
                <w:szCs w:val="22"/>
              </w:rPr>
              <w:t>Tên VB được rà soát</w:t>
            </w:r>
          </w:p>
        </w:tc>
        <w:tc>
          <w:tcPr>
            <w:tcW w:w="1417" w:type="dxa"/>
            <w:vAlign w:val="center"/>
          </w:tcPr>
          <w:p w14:paraId="4CC1B4A0">
            <w:pPr>
              <w:jc w:val="center"/>
              <w:rPr>
                <w:color w:val="auto"/>
                <w:sz w:val="22"/>
                <w:szCs w:val="22"/>
              </w:rPr>
            </w:pPr>
            <w:r>
              <w:rPr>
                <w:b/>
                <w:bCs/>
                <w:color w:val="auto"/>
                <w:sz w:val="22"/>
                <w:szCs w:val="22"/>
              </w:rPr>
              <w:t>Căn cứ rà soát</w:t>
            </w:r>
          </w:p>
        </w:tc>
        <w:tc>
          <w:tcPr>
            <w:tcW w:w="4051" w:type="dxa"/>
            <w:vAlign w:val="center"/>
          </w:tcPr>
          <w:p w14:paraId="192D677A">
            <w:pPr>
              <w:jc w:val="center"/>
              <w:rPr>
                <w:color w:val="auto"/>
                <w:sz w:val="22"/>
                <w:szCs w:val="22"/>
              </w:rPr>
            </w:pPr>
            <w:r>
              <w:rPr>
                <w:b/>
                <w:bCs/>
                <w:color w:val="auto"/>
                <w:sz w:val="22"/>
                <w:szCs w:val="22"/>
              </w:rPr>
              <w:t>Phân tích các nội dung, quy định cần xử lý của VB được rà soát</w:t>
            </w:r>
          </w:p>
        </w:tc>
        <w:tc>
          <w:tcPr>
            <w:tcW w:w="1394" w:type="dxa"/>
            <w:vAlign w:val="center"/>
          </w:tcPr>
          <w:p w14:paraId="2D16EB46">
            <w:pPr>
              <w:jc w:val="center"/>
              <w:rPr>
                <w:color w:val="auto"/>
                <w:sz w:val="22"/>
                <w:szCs w:val="22"/>
              </w:rPr>
            </w:pPr>
            <w:r>
              <w:rPr>
                <w:b/>
                <w:bCs/>
                <w:color w:val="auto"/>
                <w:sz w:val="22"/>
                <w:szCs w:val="22"/>
              </w:rPr>
              <w:t xml:space="preserve">Hình thức xử lý VB được </w:t>
            </w:r>
          </w:p>
          <w:p w14:paraId="7EEB5AB2">
            <w:pPr>
              <w:jc w:val="center"/>
              <w:rPr>
                <w:color w:val="auto"/>
                <w:sz w:val="22"/>
                <w:szCs w:val="22"/>
              </w:rPr>
            </w:pPr>
            <w:r>
              <w:rPr>
                <w:b/>
                <w:bCs/>
                <w:color w:val="auto"/>
                <w:sz w:val="22"/>
                <w:szCs w:val="22"/>
              </w:rPr>
              <w:t>rà soát</w:t>
            </w:r>
          </w:p>
        </w:tc>
        <w:tc>
          <w:tcPr>
            <w:tcW w:w="1275" w:type="dxa"/>
            <w:vAlign w:val="center"/>
          </w:tcPr>
          <w:p w14:paraId="63A80D37">
            <w:pPr>
              <w:jc w:val="center"/>
              <w:rPr>
                <w:color w:val="auto"/>
                <w:sz w:val="22"/>
                <w:szCs w:val="22"/>
              </w:rPr>
            </w:pPr>
            <w:r>
              <w:rPr>
                <w:b/>
                <w:bCs/>
                <w:color w:val="auto"/>
                <w:sz w:val="22"/>
                <w:szCs w:val="22"/>
              </w:rPr>
              <w:t>Lộ trình</w:t>
            </w:r>
          </w:p>
          <w:p w14:paraId="626BBBB7">
            <w:pPr>
              <w:jc w:val="center"/>
              <w:rPr>
                <w:color w:val="auto"/>
                <w:sz w:val="22"/>
                <w:szCs w:val="22"/>
              </w:rPr>
            </w:pPr>
            <w:r>
              <w:rPr>
                <w:b/>
                <w:bCs/>
                <w:color w:val="auto"/>
                <w:sz w:val="22"/>
                <w:szCs w:val="22"/>
              </w:rPr>
              <w:t>xử lý</w:t>
            </w:r>
          </w:p>
        </w:tc>
        <w:tc>
          <w:tcPr>
            <w:tcW w:w="1245" w:type="dxa"/>
            <w:vAlign w:val="center"/>
          </w:tcPr>
          <w:p w14:paraId="398087EF">
            <w:pPr>
              <w:jc w:val="center"/>
              <w:rPr>
                <w:color w:val="auto"/>
                <w:sz w:val="22"/>
                <w:szCs w:val="22"/>
              </w:rPr>
            </w:pPr>
            <w:r>
              <w:rPr>
                <w:b/>
                <w:bCs/>
                <w:color w:val="auto"/>
                <w:sz w:val="22"/>
                <w:szCs w:val="22"/>
              </w:rPr>
              <w:t>Tiêu chí rà soát</w:t>
            </w:r>
          </w:p>
        </w:tc>
        <w:tc>
          <w:tcPr>
            <w:tcW w:w="1308" w:type="dxa"/>
            <w:vAlign w:val="center"/>
          </w:tcPr>
          <w:p w14:paraId="7A013729">
            <w:pPr>
              <w:jc w:val="center"/>
              <w:rPr>
                <w:color w:val="auto"/>
                <w:sz w:val="22"/>
                <w:szCs w:val="22"/>
              </w:rPr>
            </w:pPr>
            <w:r>
              <w:rPr>
                <w:b/>
                <w:bCs/>
                <w:color w:val="auto"/>
                <w:sz w:val="22"/>
                <w:szCs w:val="22"/>
              </w:rPr>
              <w:t>Ghi chú</w:t>
            </w:r>
          </w:p>
        </w:tc>
        <w:tc>
          <w:tcPr>
            <w:tcW w:w="2410" w:type="dxa"/>
            <w:vMerge w:val="restart"/>
            <w:vAlign w:val="center"/>
          </w:tcPr>
          <w:p w14:paraId="2ECF3AA3">
            <w:pPr>
              <w:jc w:val="center"/>
              <w:rPr>
                <w:b/>
                <w:bCs/>
                <w:color w:val="auto"/>
                <w:sz w:val="22"/>
                <w:szCs w:val="22"/>
              </w:rPr>
            </w:pPr>
            <w:r>
              <w:rPr>
                <w:b/>
                <w:bCs/>
                <w:color w:val="auto"/>
                <w:sz w:val="22"/>
                <w:szCs w:val="22"/>
              </w:rPr>
              <w:t>Ý kiến của Bộ Tư pháp</w:t>
            </w:r>
          </w:p>
        </w:tc>
      </w:tr>
      <w:tr w14:paraId="2FED36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704" w:type="dxa"/>
            <w:vAlign w:val="center"/>
          </w:tcPr>
          <w:p w14:paraId="05E417ED">
            <w:pPr>
              <w:jc w:val="center"/>
              <w:rPr>
                <w:color w:val="auto"/>
                <w:sz w:val="22"/>
                <w:szCs w:val="22"/>
              </w:rPr>
            </w:pPr>
            <w:r>
              <w:rPr>
                <w:b/>
                <w:bCs/>
                <w:color w:val="auto"/>
                <w:sz w:val="22"/>
                <w:szCs w:val="22"/>
              </w:rPr>
              <w:t>(1)</w:t>
            </w:r>
          </w:p>
        </w:tc>
        <w:tc>
          <w:tcPr>
            <w:tcW w:w="1843" w:type="dxa"/>
            <w:vAlign w:val="center"/>
          </w:tcPr>
          <w:p w14:paraId="47CA432A">
            <w:pPr>
              <w:jc w:val="center"/>
              <w:rPr>
                <w:color w:val="auto"/>
                <w:sz w:val="22"/>
                <w:szCs w:val="22"/>
              </w:rPr>
            </w:pPr>
            <w:r>
              <w:rPr>
                <w:b/>
                <w:bCs/>
                <w:color w:val="auto"/>
                <w:sz w:val="22"/>
                <w:szCs w:val="22"/>
              </w:rPr>
              <w:t>(2)</w:t>
            </w:r>
          </w:p>
        </w:tc>
        <w:tc>
          <w:tcPr>
            <w:tcW w:w="1417" w:type="dxa"/>
            <w:vAlign w:val="center"/>
          </w:tcPr>
          <w:p w14:paraId="07226225">
            <w:pPr>
              <w:jc w:val="center"/>
              <w:rPr>
                <w:color w:val="auto"/>
                <w:sz w:val="22"/>
                <w:szCs w:val="22"/>
              </w:rPr>
            </w:pPr>
            <w:r>
              <w:rPr>
                <w:b/>
                <w:bCs/>
                <w:color w:val="auto"/>
                <w:sz w:val="22"/>
                <w:szCs w:val="22"/>
              </w:rPr>
              <w:t>(3)</w:t>
            </w:r>
          </w:p>
        </w:tc>
        <w:tc>
          <w:tcPr>
            <w:tcW w:w="4051" w:type="dxa"/>
            <w:vAlign w:val="center"/>
          </w:tcPr>
          <w:p w14:paraId="21D40D9D">
            <w:pPr>
              <w:jc w:val="center"/>
              <w:rPr>
                <w:color w:val="auto"/>
                <w:sz w:val="22"/>
                <w:szCs w:val="22"/>
              </w:rPr>
            </w:pPr>
            <w:r>
              <w:rPr>
                <w:b/>
                <w:bCs/>
                <w:color w:val="auto"/>
                <w:sz w:val="22"/>
                <w:szCs w:val="22"/>
              </w:rPr>
              <w:t>(4)</w:t>
            </w:r>
          </w:p>
        </w:tc>
        <w:tc>
          <w:tcPr>
            <w:tcW w:w="1394" w:type="dxa"/>
            <w:vAlign w:val="center"/>
          </w:tcPr>
          <w:p w14:paraId="0336F2AF">
            <w:pPr>
              <w:jc w:val="center"/>
              <w:rPr>
                <w:color w:val="auto"/>
                <w:sz w:val="22"/>
                <w:szCs w:val="22"/>
              </w:rPr>
            </w:pPr>
            <w:r>
              <w:rPr>
                <w:b/>
                <w:bCs/>
                <w:color w:val="auto"/>
                <w:sz w:val="22"/>
                <w:szCs w:val="22"/>
              </w:rPr>
              <w:t>(5)</w:t>
            </w:r>
          </w:p>
        </w:tc>
        <w:tc>
          <w:tcPr>
            <w:tcW w:w="1275" w:type="dxa"/>
            <w:vAlign w:val="center"/>
          </w:tcPr>
          <w:p w14:paraId="3B5B9E60">
            <w:pPr>
              <w:jc w:val="center"/>
              <w:rPr>
                <w:color w:val="auto"/>
                <w:sz w:val="22"/>
                <w:szCs w:val="22"/>
              </w:rPr>
            </w:pPr>
            <w:r>
              <w:rPr>
                <w:b/>
                <w:bCs/>
                <w:color w:val="auto"/>
                <w:sz w:val="22"/>
                <w:szCs w:val="22"/>
              </w:rPr>
              <w:t>(6)</w:t>
            </w:r>
          </w:p>
        </w:tc>
        <w:tc>
          <w:tcPr>
            <w:tcW w:w="1245" w:type="dxa"/>
            <w:vAlign w:val="center"/>
          </w:tcPr>
          <w:p w14:paraId="0F87BA11">
            <w:pPr>
              <w:jc w:val="center"/>
              <w:rPr>
                <w:color w:val="auto"/>
                <w:sz w:val="22"/>
                <w:szCs w:val="22"/>
              </w:rPr>
            </w:pPr>
            <w:r>
              <w:rPr>
                <w:b/>
                <w:bCs/>
                <w:color w:val="auto"/>
                <w:sz w:val="22"/>
                <w:szCs w:val="22"/>
              </w:rPr>
              <w:t>(7)</w:t>
            </w:r>
          </w:p>
        </w:tc>
        <w:tc>
          <w:tcPr>
            <w:tcW w:w="1308" w:type="dxa"/>
            <w:vAlign w:val="center"/>
          </w:tcPr>
          <w:p w14:paraId="311D612E">
            <w:pPr>
              <w:jc w:val="center"/>
              <w:rPr>
                <w:color w:val="auto"/>
                <w:sz w:val="22"/>
                <w:szCs w:val="22"/>
              </w:rPr>
            </w:pPr>
            <w:r>
              <w:rPr>
                <w:b/>
                <w:bCs/>
                <w:color w:val="auto"/>
                <w:sz w:val="22"/>
                <w:szCs w:val="22"/>
              </w:rPr>
              <w:t>(8)</w:t>
            </w:r>
          </w:p>
        </w:tc>
        <w:tc>
          <w:tcPr>
            <w:tcW w:w="2410" w:type="dxa"/>
            <w:vMerge w:val="continue"/>
          </w:tcPr>
          <w:p w14:paraId="6A2C387E">
            <w:pPr>
              <w:jc w:val="both"/>
              <w:rPr>
                <w:b/>
                <w:bCs/>
                <w:color w:val="auto"/>
                <w:sz w:val="24"/>
                <w:szCs w:val="24"/>
              </w:rPr>
            </w:pPr>
          </w:p>
        </w:tc>
      </w:tr>
      <w:tr w14:paraId="0F5F10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jc w:val="center"/>
        </w:trPr>
        <w:tc>
          <w:tcPr>
            <w:tcW w:w="13237" w:type="dxa"/>
            <w:gridSpan w:val="8"/>
          </w:tcPr>
          <w:p w14:paraId="32AE6087">
            <w:pPr>
              <w:pStyle w:val="3"/>
              <w:spacing w:before="0" w:after="0" w:line="240" w:lineRule="auto"/>
              <w:rPr>
                <w:color w:val="auto"/>
                <w:sz w:val="24"/>
                <w:szCs w:val="24"/>
              </w:rPr>
            </w:pPr>
            <w:r>
              <w:rPr>
                <w:color w:val="auto"/>
                <w:sz w:val="24"/>
                <w:szCs w:val="24"/>
              </w:rPr>
              <w:t>I. LĨNH VỰC KHOA HỌC, CÔNG NGHỆ VÀ ĐỔI MỚI SÁNG TẠO</w:t>
            </w:r>
          </w:p>
        </w:tc>
        <w:tc>
          <w:tcPr>
            <w:tcW w:w="2410" w:type="dxa"/>
          </w:tcPr>
          <w:p w14:paraId="4C840143">
            <w:pPr>
              <w:pStyle w:val="3"/>
              <w:spacing w:before="0" w:after="0"/>
              <w:jc w:val="both"/>
              <w:rPr>
                <w:color w:val="auto"/>
                <w:sz w:val="24"/>
                <w:szCs w:val="24"/>
              </w:rPr>
            </w:pPr>
          </w:p>
        </w:tc>
      </w:tr>
      <w:tr w14:paraId="783EC3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520" w:hRule="atLeast"/>
          <w:jc w:val="center"/>
        </w:trPr>
        <w:tc>
          <w:tcPr>
            <w:tcW w:w="704" w:type="dxa"/>
          </w:tcPr>
          <w:p w14:paraId="1C0ED875">
            <w:pPr>
              <w:numPr>
                <w:ilvl w:val="0"/>
                <w:numId w:val="1"/>
              </w:numPr>
              <w:tabs>
                <w:tab w:val="left" w:pos="425"/>
              </w:tabs>
              <w:ind w:left="501" w:leftChars="0" w:firstLineChars="0"/>
              <w:jc w:val="center"/>
              <w:rPr>
                <w:color w:val="auto"/>
                <w:sz w:val="24"/>
                <w:szCs w:val="24"/>
              </w:rPr>
            </w:pPr>
          </w:p>
        </w:tc>
        <w:tc>
          <w:tcPr>
            <w:tcW w:w="1843" w:type="dxa"/>
          </w:tcPr>
          <w:p w14:paraId="4CFD5027">
            <w:pPr>
              <w:jc w:val="both"/>
              <w:rPr>
                <w:color w:val="auto"/>
                <w:sz w:val="24"/>
                <w:szCs w:val="24"/>
              </w:rPr>
            </w:pPr>
            <w:r>
              <w:rPr>
                <w:color w:val="auto"/>
                <w:sz w:val="24"/>
                <w:szCs w:val="24"/>
              </w:rPr>
              <w:t>Nghị định số 262/2025/ND-CP ngày 14/10/2025 của Chính phủ quy định chi tiết và hướng dẫn thi hành một só điều của Luật KHCN, ĐMST về Thông tin, thống kê, đánh giá, chuyển đổi số và các vấn đề chung</w:t>
            </w:r>
          </w:p>
        </w:tc>
        <w:tc>
          <w:tcPr>
            <w:tcW w:w="1417" w:type="dxa"/>
          </w:tcPr>
          <w:p w14:paraId="17E17693">
            <w:pPr>
              <w:jc w:val="both"/>
              <w:rPr>
                <w:color w:val="auto"/>
                <w:sz w:val="24"/>
                <w:szCs w:val="24"/>
              </w:rPr>
            </w:pPr>
            <w:r>
              <w:rPr>
                <w:color w:val="auto"/>
                <w:sz w:val="24"/>
                <w:szCs w:val="24"/>
              </w:rPr>
              <w:t>Cải cách TTHC</w:t>
            </w:r>
          </w:p>
        </w:tc>
        <w:tc>
          <w:tcPr>
            <w:tcW w:w="4051" w:type="dxa"/>
          </w:tcPr>
          <w:p w14:paraId="7F24E59A">
            <w:pPr>
              <w:jc w:val="both"/>
              <w:rPr>
                <w:color w:val="auto"/>
                <w:sz w:val="24"/>
                <w:szCs w:val="24"/>
              </w:rPr>
            </w:pPr>
            <w:r>
              <w:rPr>
                <w:color w:val="auto"/>
                <w:sz w:val="24"/>
                <w:szCs w:val="24"/>
              </w:rPr>
              <w:t>- Các nội dung về phân cấp và cắt giảm thời gian thực hiện thủ tục hành chính cần thống nhất với quy định tại Phụ lục I.E.I.1 và Phụ lục II.Đ.1 và II Nghị quyết số 20/2026/NQ-CP ngày 29/4/2026 của Chính phủ</w:t>
            </w:r>
          </w:p>
          <w:p w14:paraId="003078BD">
            <w:pPr>
              <w:jc w:val="both"/>
              <w:rPr>
                <w:color w:val="auto"/>
                <w:sz w:val="24"/>
                <w:szCs w:val="24"/>
              </w:rPr>
            </w:pPr>
            <w:r>
              <w:rPr>
                <w:color w:val="auto"/>
                <w:sz w:val="24"/>
                <w:szCs w:val="24"/>
              </w:rPr>
              <w:t>- Sửa đổi, bổ sung điểm a khoản 2 Điều 14 như sau:</w:t>
            </w:r>
          </w:p>
          <w:p w14:paraId="60EA7C00">
            <w:pPr>
              <w:jc w:val="both"/>
              <w:rPr>
                <w:color w:val="auto"/>
                <w:sz w:val="24"/>
                <w:szCs w:val="24"/>
              </w:rPr>
            </w:pPr>
            <w:r>
              <w:rPr>
                <w:color w:val="auto"/>
                <w:sz w:val="24"/>
                <w:szCs w:val="24"/>
              </w:rPr>
              <w:t>“a) Hồ sơ đề nghị thành lập đơn vị trực thuộc ở nước ngoài được lập thành 01 bộ gửi đến Sở Khoa học và Công nghệ nơi tổ chức khoa học và công nghệ chủ quản đặt trụ sở chính, thông qua hệ thống dịch vụ công trực tuyến, trực tiếp hoặc gửi qua đường bưu điện.</w:t>
            </w:r>
          </w:p>
          <w:p w14:paraId="70BB32AF">
            <w:pPr>
              <w:jc w:val="both"/>
              <w:rPr>
                <w:color w:val="auto"/>
                <w:sz w:val="24"/>
                <w:szCs w:val="24"/>
              </w:rPr>
            </w:pPr>
            <w:r>
              <w:rPr>
                <w:color w:val="auto"/>
                <w:sz w:val="24"/>
                <w:szCs w:val="24"/>
              </w:rPr>
              <w:t>- Sửa đổi, bổ sung điểm c khoản 4 Điều 23 như sau:</w:t>
            </w:r>
          </w:p>
          <w:p w14:paraId="43A3D3ED">
            <w:pPr>
              <w:jc w:val="both"/>
              <w:rPr>
                <w:color w:val="auto"/>
                <w:sz w:val="24"/>
                <w:szCs w:val="24"/>
              </w:rPr>
            </w:pPr>
            <w:r>
              <w:rPr>
                <w:color w:val="auto"/>
                <w:sz w:val="24"/>
                <w:szCs w:val="24"/>
              </w:rPr>
              <w:t>“c) Trong thời hạn 08 ngày làm việc kể từ ngày nhận đủ hồ sơ hợp lệ, cơ quan có thẩm quyền thực hiện thẩm định và cấp giấy chứng nhận đăng ký tổ chức khoa học và công nghệ. Trường hợp từ</w:t>
            </w:r>
          </w:p>
          <w:p w14:paraId="5C2918FF">
            <w:pPr>
              <w:jc w:val="both"/>
              <w:rPr>
                <w:color w:val="auto"/>
                <w:sz w:val="24"/>
                <w:szCs w:val="24"/>
              </w:rPr>
            </w:pPr>
            <w:r>
              <w:rPr>
                <w:color w:val="auto"/>
                <w:sz w:val="24"/>
                <w:szCs w:val="24"/>
              </w:rPr>
              <w:t>chối, phải có văn bản trả lời và nêu rõ lý do.”</w:t>
            </w:r>
          </w:p>
          <w:p w14:paraId="400B1853">
            <w:pPr>
              <w:jc w:val="both"/>
              <w:rPr>
                <w:color w:val="auto"/>
                <w:sz w:val="24"/>
                <w:szCs w:val="24"/>
              </w:rPr>
            </w:pPr>
            <w:r>
              <w:rPr>
                <w:color w:val="auto"/>
                <w:sz w:val="24"/>
                <w:szCs w:val="24"/>
              </w:rPr>
              <w:t>- Sửa đổi, bổ sung điểm c khoản 3 Điều 24 như sau:</w:t>
            </w:r>
          </w:p>
          <w:p w14:paraId="088707FF">
            <w:pPr>
              <w:jc w:val="both"/>
              <w:rPr>
                <w:color w:val="auto"/>
                <w:sz w:val="24"/>
                <w:szCs w:val="24"/>
              </w:rPr>
            </w:pPr>
            <w:r>
              <w:rPr>
                <w:color w:val="auto"/>
                <w:sz w:val="24"/>
                <w:szCs w:val="24"/>
              </w:rPr>
              <w:t>“c) Trong thời hạn 6 ngày làm việc kể từ ngày nhận được hồ sơ hợp lệ, cơ quan có thẩm quyền xem xét, cấp giấy chứng nhận đăng ký tổ chức khoa học và công nghệ đã được thay đổi, bổ sung hoặc cấp lại. Trường hợp từ chối cấp, phải có văn bản thông báo nêu rõ lý do gửi cho tổ chức, cá nhân có liên quan.</w:t>
            </w:r>
          </w:p>
        </w:tc>
        <w:tc>
          <w:tcPr>
            <w:tcW w:w="1394" w:type="dxa"/>
          </w:tcPr>
          <w:p w14:paraId="5F1848B1">
            <w:pPr>
              <w:jc w:val="both"/>
              <w:rPr>
                <w:color w:val="auto"/>
                <w:sz w:val="24"/>
                <w:szCs w:val="24"/>
              </w:rPr>
            </w:pPr>
            <w:r>
              <w:rPr>
                <w:color w:val="auto"/>
                <w:sz w:val="24"/>
                <w:szCs w:val="24"/>
              </w:rPr>
              <w:t>Sửa đổi, bổ sung</w:t>
            </w:r>
          </w:p>
        </w:tc>
        <w:tc>
          <w:tcPr>
            <w:tcW w:w="1275" w:type="dxa"/>
          </w:tcPr>
          <w:p w14:paraId="6D8E0092">
            <w:pPr>
              <w:jc w:val="center"/>
              <w:rPr>
                <w:color w:val="auto"/>
                <w:sz w:val="24"/>
                <w:szCs w:val="24"/>
              </w:rPr>
            </w:pPr>
            <w:r>
              <w:rPr>
                <w:rFonts w:hint="default"/>
                <w:color w:val="auto"/>
                <w:sz w:val="24"/>
                <w:szCs w:val="24"/>
                <w:lang w:val="en-US"/>
              </w:rPr>
              <w:t xml:space="preserve">Tháng </w:t>
            </w:r>
            <w:r>
              <w:rPr>
                <w:color w:val="auto"/>
                <w:sz w:val="24"/>
                <w:szCs w:val="24"/>
              </w:rPr>
              <w:t>3/2027</w:t>
            </w:r>
          </w:p>
        </w:tc>
        <w:tc>
          <w:tcPr>
            <w:tcW w:w="1245" w:type="dxa"/>
          </w:tcPr>
          <w:p w14:paraId="29FA4F92">
            <w:pPr>
              <w:jc w:val="both"/>
              <w:rPr>
                <w:color w:val="auto"/>
                <w:sz w:val="24"/>
                <w:szCs w:val="24"/>
              </w:rPr>
            </w:pPr>
            <w:r>
              <w:rPr>
                <w:color w:val="auto"/>
                <w:sz w:val="24"/>
                <w:szCs w:val="24"/>
              </w:rPr>
              <w:t>Tiêu chí  4</w:t>
            </w:r>
          </w:p>
        </w:tc>
        <w:tc>
          <w:tcPr>
            <w:tcW w:w="1308" w:type="dxa"/>
          </w:tcPr>
          <w:p w14:paraId="4915584F">
            <w:pPr>
              <w:jc w:val="center"/>
              <w:rPr>
                <w:color w:val="auto"/>
                <w:sz w:val="24"/>
                <w:szCs w:val="24"/>
              </w:rPr>
            </w:pPr>
            <w:r>
              <w:rPr>
                <w:color w:val="auto"/>
                <w:sz w:val="24"/>
                <w:szCs w:val="24"/>
              </w:rPr>
              <w:t xml:space="preserve">Đã cập nhật theo ý kiến thẩm định  </w:t>
            </w:r>
          </w:p>
        </w:tc>
        <w:tc>
          <w:tcPr>
            <w:tcW w:w="2410" w:type="dxa"/>
          </w:tcPr>
          <w:p w14:paraId="24D8F8C5">
            <w:pPr>
              <w:ind w:firstLine="284"/>
              <w:jc w:val="both"/>
              <w:rPr>
                <w:color w:val="auto"/>
                <w:sz w:val="24"/>
                <w:szCs w:val="24"/>
              </w:rPr>
            </w:pPr>
            <w:r>
              <w:rPr>
                <w:color w:val="auto"/>
                <w:sz w:val="24"/>
                <w:szCs w:val="24"/>
              </w:rPr>
              <w:t>Nhất trí.</w:t>
            </w:r>
          </w:p>
        </w:tc>
      </w:tr>
      <w:tr w14:paraId="6B46B9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2" w:hRule="atLeast"/>
          <w:jc w:val="center"/>
        </w:trPr>
        <w:tc>
          <w:tcPr>
            <w:tcW w:w="704" w:type="dxa"/>
            <w:vMerge w:val="restart"/>
          </w:tcPr>
          <w:p w14:paraId="3EF61969">
            <w:pPr>
              <w:widowControl w:val="0"/>
              <w:numPr>
                <w:ilvl w:val="0"/>
                <w:numId w:val="1"/>
              </w:numPr>
              <w:spacing w:line="276" w:lineRule="auto"/>
              <w:ind w:left="501" w:leftChars="0" w:firstLineChars="0"/>
              <w:rPr>
                <w:color w:val="auto"/>
                <w:sz w:val="24"/>
                <w:szCs w:val="24"/>
              </w:rPr>
            </w:pPr>
          </w:p>
        </w:tc>
        <w:tc>
          <w:tcPr>
            <w:tcW w:w="1843" w:type="dxa"/>
            <w:vMerge w:val="restart"/>
          </w:tcPr>
          <w:p w14:paraId="3DBAC2AC">
            <w:pPr>
              <w:widowControl w:val="0"/>
              <w:spacing w:line="276" w:lineRule="auto"/>
              <w:jc w:val="both"/>
              <w:rPr>
                <w:color w:val="auto"/>
                <w:sz w:val="24"/>
                <w:szCs w:val="24"/>
              </w:rPr>
            </w:pPr>
            <w:r>
              <w:rPr>
                <w:color w:val="auto"/>
                <w:sz w:val="24"/>
                <w:szCs w:val="24"/>
              </w:rPr>
              <w:t>Nghị định số 267/2025/NĐ-CP ngày 14/10/2025 của Chính phủ quy định chi tiết và hướng dẫn một số điều của Luật Khoa học, công nghệ và đổi mới sáng tạo về chương trình nhiệm vụ khoa học công nghệ và đổi mới sáng tạo và một số quy định về thúc đẩy hoạt động nghiên cứu khoa học phát triển công nghệ và đổi mới sáng tạo</w:t>
            </w:r>
          </w:p>
        </w:tc>
        <w:tc>
          <w:tcPr>
            <w:tcW w:w="1417" w:type="dxa"/>
            <w:vMerge w:val="restart"/>
          </w:tcPr>
          <w:p w14:paraId="05131D08">
            <w:pPr>
              <w:spacing w:before="120"/>
              <w:jc w:val="both"/>
              <w:rPr>
                <w:color w:val="auto"/>
                <w:sz w:val="24"/>
                <w:szCs w:val="24"/>
              </w:rPr>
            </w:pPr>
            <w:r>
              <w:rPr>
                <w:color w:val="auto"/>
                <w:sz w:val="24"/>
                <w:szCs w:val="24"/>
              </w:rPr>
              <w:t>Tình hình thực tiễn</w:t>
            </w:r>
          </w:p>
        </w:tc>
        <w:tc>
          <w:tcPr>
            <w:tcW w:w="4051" w:type="dxa"/>
          </w:tcPr>
          <w:p w14:paraId="5569A6A3">
            <w:pPr>
              <w:spacing w:after="120"/>
              <w:jc w:val="both"/>
              <w:rPr>
                <w:color w:val="auto"/>
                <w:sz w:val="24"/>
                <w:szCs w:val="24"/>
              </w:rPr>
            </w:pPr>
            <w:r>
              <w:rPr>
                <w:color w:val="auto"/>
                <w:sz w:val="24"/>
                <w:szCs w:val="24"/>
              </w:rPr>
              <w:t>Nghị định quy định: “Tổ chức đề xuất nhiệm vụ khoa học, công nghệ và đổi mới sáng tạo phê duyệt theo phương thức khoán đến sản phẩm cuối cùng cần chủ trì ít nhất 03 nhiệm vụ sử dụng ngân sách nhà nước thuộc chương trình khoa học, công nghệ và đổi mới sáng tạo quốc gia hoặc thuộc chương trình khoa học và công nghệ cấp quốc gia đã kết thúc trong 05 năm gần nhất và đạt được các kết quả và mục tiêu đề ra hoặc được đánh giá từ đạt trở lên”.</w:t>
            </w:r>
          </w:p>
          <w:p w14:paraId="3BEC7CE3">
            <w:pPr>
              <w:jc w:val="both"/>
              <w:rPr>
                <w:color w:val="auto"/>
                <w:sz w:val="24"/>
                <w:szCs w:val="24"/>
              </w:rPr>
            </w:pPr>
            <w:r>
              <w:rPr>
                <w:color w:val="auto"/>
                <w:sz w:val="24"/>
                <w:szCs w:val="24"/>
              </w:rPr>
              <w:t>Tuy nhiên, trường hợp tổ chức chủ trì là doanh nghiệp thì không thể đáp ứng điều kiện nêu trên do doanh nghiệp ít tham gia thực hiện loại hình nhiệm vụ khoa học, công nghệ và đổi mới sáng tạo nêu trên. Vì vậy, quy định này dẫn đến các nhiệm vụ khoa học, công nghệ và đổi mới sáng tạo do doanh nghiệp chủ trì thực hiện không được áp dụng phương thức khoán đến sản phẩm cuối cùng, gây cản trở việc triển khai thực hiện nhiệm vụ.</w:t>
            </w:r>
            <w:r>
              <w:rPr>
                <w:b/>
                <w:bCs/>
                <w:color w:val="auto"/>
                <w:sz w:val="24"/>
                <w:szCs w:val="24"/>
              </w:rPr>
              <w:t xml:space="preserve"> </w:t>
            </w:r>
          </w:p>
          <w:p w14:paraId="71EA6CCD">
            <w:pPr>
              <w:jc w:val="both"/>
              <w:rPr>
                <w:color w:val="auto"/>
                <w:sz w:val="24"/>
                <w:szCs w:val="24"/>
              </w:rPr>
            </w:pPr>
            <w:r>
              <w:rPr>
                <w:color w:val="auto"/>
                <w:sz w:val="24"/>
                <w:szCs w:val="24"/>
              </w:rPr>
              <w:t>Chưa có nội dung hỗ trợ xuất bản khoa học trong nội dung hỗ trợ phát triển tạp chi khoa học, cần sửa đổi điểm h Khoản 3 Điều 6 như sau:</w:t>
            </w:r>
          </w:p>
          <w:p w14:paraId="5DE2FF14">
            <w:pPr>
              <w:jc w:val="both"/>
              <w:rPr>
                <w:color w:val="auto"/>
                <w:sz w:val="24"/>
                <w:szCs w:val="24"/>
              </w:rPr>
            </w:pPr>
            <w:r>
              <w:rPr>
                <w:color w:val="auto"/>
                <w:sz w:val="24"/>
                <w:szCs w:val="24"/>
              </w:rPr>
              <w:t>“c) Chi hỗ trợ hoạt động xuất bản khoa học và công nghệ và phát triển tạp chí khoa học”.</w:t>
            </w:r>
          </w:p>
          <w:p w14:paraId="69A43D9D">
            <w:pPr>
              <w:jc w:val="both"/>
              <w:rPr>
                <w:color w:val="auto"/>
                <w:sz w:val="24"/>
                <w:szCs w:val="24"/>
              </w:rPr>
            </w:pPr>
            <w:r>
              <w:rPr>
                <w:color w:val="auto"/>
                <w:sz w:val="24"/>
                <w:szCs w:val="24"/>
              </w:rPr>
              <w:t>Bổ sung nội dung hỗ trợ hoạt động xuất bản khoa học nhằm góp phần:</w:t>
            </w:r>
          </w:p>
          <w:p w14:paraId="0827C3E3">
            <w:pPr>
              <w:jc w:val="both"/>
              <w:rPr>
                <w:color w:val="auto"/>
                <w:sz w:val="24"/>
                <w:szCs w:val="24"/>
              </w:rPr>
            </w:pPr>
            <w:r>
              <w:rPr>
                <w:color w:val="auto"/>
                <w:sz w:val="24"/>
                <w:szCs w:val="24"/>
              </w:rPr>
              <w:t xml:space="preserve">- Khuyến khích biên soạn sách chuyên khảo, giáo trình chất lượng cao; </w:t>
            </w:r>
          </w:p>
          <w:p w14:paraId="759EF221">
            <w:pPr>
              <w:jc w:val="both"/>
              <w:rPr>
                <w:color w:val="auto"/>
                <w:sz w:val="24"/>
                <w:szCs w:val="24"/>
              </w:rPr>
            </w:pPr>
            <w:r>
              <w:rPr>
                <w:color w:val="auto"/>
                <w:sz w:val="24"/>
                <w:szCs w:val="24"/>
              </w:rPr>
              <w:t xml:space="preserve">- Hình thành hạ tầng xuất bản số hiện đại; </w:t>
            </w:r>
          </w:p>
          <w:p w14:paraId="5FB80372">
            <w:pPr>
              <w:jc w:val="both"/>
              <w:rPr>
                <w:color w:val="auto"/>
                <w:sz w:val="24"/>
                <w:szCs w:val="24"/>
              </w:rPr>
            </w:pPr>
            <w:r>
              <w:rPr>
                <w:color w:val="auto"/>
                <w:sz w:val="24"/>
                <w:szCs w:val="24"/>
              </w:rPr>
              <w:t>- Tăng khả năng tiếp cận và lan tỏa tri thức khoa học</w:t>
            </w:r>
          </w:p>
        </w:tc>
        <w:tc>
          <w:tcPr>
            <w:tcW w:w="1394" w:type="dxa"/>
          </w:tcPr>
          <w:p w14:paraId="631BF206">
            <w:pPr>
              <w:jc w:val="both"/>
              <w:rPr>
                <w:color w:val="auto"/>
                <w:sz w:val="24"/>
                <w:szCs w:val="24"/>
              </w:rPr>
            </w:pPr>
            <w:r>
              <w:rPr>
                <w:color w:val="auto"/>
                <w:sz w:val="24"/>
                <w:szCs w:val="24"/>
              </w:rPr>
              <w:t>Sửa đổi, bổ sung</w:t>
            </w:r>
          </w:p>
        </w:tc>
        <w:tc>
          <w:tcPr>
            <w:tcW w:w="1275" w:type="dxa"/>
          </w:tcPr>
          <w:p w14:paraId="149B88AE">
            <w:pPr>
              <w:jc w:val="center"/>
              <w:rPr>
                <w:color w:val="auto"/>
                <w:sz w:val="24"/>
                <w:szCs w:val="24"/>
              </w:rPr>
            </w:pPr>
            <w:r>
              <w:rPr>
                <w:rFonts w:hint="default"/>
                <w:color w:val="auto"/>
                <w:sz w:val="24"/>
                <w:szCs w:val="24"/>
                <w:lang w:val="en-US"/>
              </w:rPr>
              <w:t>Tháng 12/</w:t>
            </w:r>
            <w:r>
              <w:rPr>
                <w:color w:val="auto"/>
                <w:sz w:val="24"/>
                <w:szCs w:val="24"/>
              </w:rPr>
              <w:t>2027</w:t>
            </w:r>
          </w:p>
        </w:tc>
        <w:tc>
          <w:tcPr>
            <w:tcW w:w="1245" w:type="dxa"/>
          </w:tcPr>
          <w:p w14:paraId="18EEDC32">
            <w:pPr>
              <w:jc w:val="both"/>
              <w:rPr>
                <w:color w:val="auto"/>
                <w:sz w:val="24"/>
                <w:szCs w:val="24"/>
              </w:rPr>
            </w:pPr>
            <w:r>
              <w:rPr>
                <w:color w:val="auto"/>
                <w:sz w:val="24"/>
                <w:szCs w:val="24"/>
              </w:rPr>
              <w:t>Tiêu chí 5</w:t>
            </w:r>
          </w:p>
        </w:tc>
        <w:tc>
          <w:tcPr>
            <w:tcW w:w="1308" w:type="dxa"/>
          </w:tcPr>
          <w:p w14:paraId="367921F7">
            <w:pPr>
              <w:widowControl w:val="0"/>
              <w:spacing w:line="276" w:lineRule="auto"/>
              <w:jc w:val="center"/>
              <w:rPr>
                <w:color w:val="auto"/>
                <w:sz w:val="24"/>
                <w:szCs w:val="24"/>
              </w:rPr>
            </w:pPr>
            <w:r>
              <w:rPr>
                <w:color w:val="auto"/>
                <w:sz w:val="24"/>
                <w:szCs w:val="24"/>
              </w:rPr>
              <w:t>Đã cập nhật theo ý kiến thẩm định</w:t>
            </w:r>
          </w:p>
        </w:tc>
        <w:tc>
          <w:tcPr>
            <w:tcW w:w="2410" w:type="dxa"/>
          </w:tcPr>
          <w:p w14:paraId="342580C2">
            <w:pPr>
              <w:widowControl w:val="0"/>
              <w:spacing w:line="276" w:lineRule="auto"/>
              <w:ind w:firstLine="284"/>
              <w:jc w:val="both"/>
              <w:rPr>
                <w:color w:val="auto"/>
                <w:sz w:val="24"/>
                <w:szCs w:val="24"/>
              </w:rPr>
            </w:pPr>
            <w:r>
              <w:rPr>
                <w:color w:val="auto"/>
                <w:sz w:val="24"/>
                <w:szCs w:val="24"/>
              </w:rPr>
              <w:t>Nhất trí.</w:t>
            </w:r>
          </w:p>
        </w:tc>
      </w:tr>
      <w:tr w14:paraId="007AA9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52" w:hRule="atLeast"/>
          <w:jc w:val="center"/>
        </w:trPr>
        <w:tc>
          <w:tcPr>
            <w:tcW w:w="704" w:type="dxa"/>
            <w:vMerge w:val="continue"/>
          </w:tcPr>
          <w:p w14:paraId="6B264E66">
            <w:pPr>
              <w:tabs>
                <w:tab w:val="left" w:pos="425"/>
              </w:tabs>
              <w:rPr>
                <w:color w:val="auto"/>
                <w:sz w:val="24"/>
                <w:szCs w:val="24"/>
              </w:rPr>
            </w:pPr>
          </w:p>
        </w:tc>
        <w:tc>
          <w:tcPr>
            <w:tcW w:w="1843" w:type="dxa"/>
            <w:vMerge w:val="continue"/>
          </w:tcPr>
          <w:p w14:paraId="45893BDD">
            <w:pPr>
              <w:jc w:val="both"/>
              <w:rPr>
                <w:color w:val="auto"/>
                <w:sz w:val="24"/>
                <w:szCs w:val="24"/>
              </w:rPr>
            </w:pPr>
          </w:p>
        </w:tc>
        <w:tc>
          <w:tcPr>
            <w:tcW w:w="1417" w:type="dxa"/>
            <w:vMerge w:val="continue"/>
          </w:tcPr>
          <w:p w14:paraId="5C1611FF">
            <w:pPr>
              <w:jc w:val="both"/>
              <w:rPr>
                <w:color w:val="auto"/>
                <w:sz w:val="24"/>
                <w:szCs w:val="24"/>
              </w:rPr>
            </w:pPr>
          </w:p>
        </w:tc>
        <w:tc>
          <w:tcPr>
            <w:tcW w:w="4051" w:type="dxa"/>
          </w:tcPr>
          <w:p w14:paraId="4B80A477">
            <w:pPr>
              <w:spacing w:after="120"/>
              <w:jc w:val="both"/>
              <w:rPr>
                <w:color w:val="auto"/>
                <w:sz w:val="24"/>
                <w:szCs w:val="24"/>
              </w:rPr>
            </w:pPr>
            <w:r>
              <w:rPr>
                <w:color w:val="auto"/>
                <w:sz w:val="24"/>
                <w:szCs w:val="24"/>
              </w:rPr>
              <w:t xml:space="preserve">Thủ tục Xét tài trợ, đặt hàng thực hiện nhiệm vụ khoa học, công nghệ và đổi mới sáng tạo và Phê duyệt nhiệm vụ khoa học và công nghệ và đổi mới sáng tạo cần đơn giản hóa thành phần hồ sơ, rút gọn quy trình, thời gian thực hiện thủ tục phê duyệt nhiệm vụ khoa học công nghệ; quy định rõ thời hạn xử lý hồ sơ </w:t>
            </w:r>
          </w:p>
        </w:tc>
        <w:tc>
          <w:tcPr>
            <w:tcW w:w="1394" w:type="dxa"/>
            <w:vMerge w:val="restart"/>
          </w:tcPr>
          <w:p w14:paraId="75926008">
            <w:pPr>
              <w:jc w:val="center"/>
              <w:rPr>
                <w:color w:val="auto"/>
                <w:sz w:val="24"/>
                <w:szCs w:val="24"/>
              </w:rPr>
            </w:pPr>
          </w:p>
        </w:tc>
        <w:tc>
          <w:tcPr>
            <w:tcW w:w="1275" w:type="dxa"/>
            <w:vMerge w:val="restart"/>
          </w:tcPr>
          <w:p w14:paraId="59CAA321">
            <w:pPr>
              <w:jc w:val="center"/>
              <w:rPr>
                <w:color w:val="auto"/>
                <w:sz w:val="24"/>
                <w:szCs w:val="24"/>
              </w:rPr>
            </w:pPr>
            <w:r>
              <w:rPr>
                <w:rFonts w:hint="default"/>
                <w:color w:val="auto"/>
                <w:sz w:val="24"/>
                <w:szCs w:val="24"/>
                <w:lang w:val="en-US"/>
              </w:rPr>
              <w:t>Tháng 12/</w:t>
            </w:r>
            <w:r>
              <w:rPr>
                <w:color w:val="auto"/>
                <w:sz w:val="24"/>
                <w:szCs w:val="24"/>
              </w:rPr>
              <w:t>2027</w:t>
            </w:r>
          </w:p>
        </w:tc>
        <w:tc>
          <w:tcPr>
            <w:tcW w:w="1245" w:type="dxa"/>
          </w:tcPr>
          <w:p w14:paraId="36B72121">
            <w:pPr>
              <w:jc w:val="both"/>
              <w:rPr>
                <w:color w:val="auto"/>
                <w:sz w:val="24"/>
                <w:szCs w:val="24"/>
              </w:rPr>
            </w:pPr>
            <w:r>
              <w:rPr>
                <w:color w:val="auto"/>
                <w:sz w:val="24"/>
                <w:szCs w:val="24"/>
              </w:rPr>
              <w:t xml:space="preserve">Tiêu chí  </w:t>
            </w:r>
            <w:r>
              <w:rPr>
                <w:rFonts w:hint="default"/>
                <w:color w:val="auto"/>
                <w:sz w:val="24"/>
                <w:szCs w:val="24"/>
                <w:lang w:val="en-US"/>
              </w:rPr>
              <w:t>4</w:t>
            </w:r>
          </w:p>
        </w:tc>
        <w:tc>
          <w:tcPr>
            <w:tcW w:w="1308" w:type="dxa"/>
          </w:tcPr>
          <w:p w14:paraId="61137700">
            <w:pPr>
              <w:jc w:val="both"/>
              <w:rPr>
                <w:color w:val="auto"/>
                <w:sz w:val="24"/>
                <w:szCs w:val="24"/>
              </w:rPr>
            </w:pPr>
            <w:r>
              <w:rPr>
                <w:color w:val="auto"/>
                <w:sz w:val="24"/>
                <w:szCs w:val="24"/>
              </w:rPr>
              <w:t xml:space="preserve">Đã cập nhật theo ý kiến thẩm định  </w:t>
            </w:r>
          </w:p>
        </w:tc>
        <w:tc>
          <w:tcPr>
            <w:tcW w:w="2410" w:type="dxa"/>
          </w:tcPr>
          <w:p w14:paraId="485DCB13">
            <w:pPr>
              <w:ind w:firstLine="284"/>
              <w:jc w:val="both"/>
              <w:rPr>
                <w:color w:val="auto"/>
                <w:sz w:val="24"/>
                <w:szCs w:val="24"/>
              </w:rPr>
            </w:pPr>
            <w:r>
              <w:rPr>
                <w:color w:val="auto"/>
                <w:sz w:val="24"/>
                <w:szCs w:val="24"/>
              </w:rPr>
              <w:t xml:space="preserve">Cần làm rõ, hoàn thiện thêm để xác định chính xác Tiêu chí rà soát, đề nghị cân nhắc xếp vào Tiêu chí 4. </w:t>
            </w:r>
            <w:r>
              <w:rPr>
                <w:iCs/>
                <w:color w:val="auto"/>
                <w:sz w:val="24"/>
                <w:szCs w:val="24"/>
              </w:rPr>
              <w:t xml:space="preserve">Cột số 4 nêu nội dung rà soát như sau: </w:t>
            </w:r>
            <w:r>
              <w:rPr>
                <w:color w:val="auto"/>
                <w:sz w:val="24"/>
                <w:szCs w:val="24"/>
              </w:rPr>
              <w:t>Thủ tục Xét tài trợ, đặt hàng thực hiện nhiệm vụ khoa học, công nghệ và đổi mới sáng tạo và Phê duyệt nhiệm vụ khoa học và công nghệ và đổi mới sáng tạo cần đơn giản hóa thành phần hồ sơ, rút gọn quy trình, thời gian thực hiện thủ tục phê duyệt nhiệm vụ khoa học công nghệ; quy định rõ thời hạn xử lý hồ sơ</w:t>
            </w:r>
            <w:r>
              <w:rPr>
                <w:iCs/>
                <w:color w:val="auto"/>
                <w:sz w:val="24"/>
                <w:szCs w:val="24"/>
              </w:rPr>
              <w:t xml:space="preserve">. Như vậy, theo nhận định này thì </w:t>
            </w:r>
            <w:r>
              <w:rPr>
                <w:color w:val="auto"/>
                <w:sz w:val="24"/>
                <w:szCs w:val="24"/>
              </w:rPr>
              <w:t>Nghị định số 267/2025/NĐ-CP</w:t>
            </w:r>
            <w:r>
              <w:rPr>
                <w:iCs/>
                <w:color w:val="auto"/>
                <w:sz w:val="24"/>
                <w:szCs w:val="24"/>
              </w:rPr>
              <w:t xml:space="preserve"> cần đơn giản hoá thành phần hồ sơ, rút gọn quy trình, thời gian thực hiện, thuộc Tiêu chí 4 - </w:t>
            </w:r>
            <w:r>
              <w:rPr>
                <w:color w:val="auto"/>
                <w:sz w:val="24"/>
                <w:szCs w:val="24"/>
                <w:shd w:val="clear" w:color="auto" w:fill="FFFFFF"/>
              </w:rPr>
              <w:t>Rà soát, đề xuất cắt giảm, đơn giản hóa điều kiện hành nghề, đầu tư, kinh doanh, thủ tục hành chính bất hợp lý, tạo gánh nặng chi phí tuân thủ</w:t>
            </w:r>
            <w:r>
              <w:rPr>
                <w:iCs/>
                <w:color w:val="auto"/>
                <w:sz w:val="24"/>
                <w:szCs w:val="24"/>
              </w:rPr>
              <w:t>.</w:t>
            </w:r>
          </w:p>
          <w:p w14:paraId="30C27F6D">
            <w:pPr>
              <w:ind w:firstLine="284"/>
              <w:jc w:val="both"/>
              <w:rPr>
                <w:color w:val="auto"/>
                <w:sz w:val="24"/>
                <w:szCs w:val="24"/>
              </w:rPr>
            </w:pPr>
            <w:r>
              <w:rPr>
                <w:iCs/>
                <w:color w:val="auto"/>
                <w:sz w:val="24"/>
                <w:szCs w:val="24"/>
              </w:rPr>
              <w:t xml:space="preserve">Tuy nhiên, tại cột số 7, Bộ Khoa học và Công nghệ lại xác định tiêu chí rà soát là tiêu chí 5 - </w:t>
            </w:r>
            <w:r>
              <w:rPr>
                <w:color w:val="auto"/>
                <w:spacing w:val="-2"/>
                <w:sz w:val="24"/>
                <w:szCs w:val="24"/>
                <w:lang w:val="nl-NL"/>
              </w:rPr>
              <w:t xml:space="preserve">Rà soát, phát hiện </w:t>
            </w:r>
            <w:r>
              <w:rPr>
                <w:color w:val="auto"/>
                <w:spacing w:val="-2"/>
                <w:sz w:val="24"/>
                <w:szCs w:val="24"/>
                <w:shd w:val="clear" w:color="auto" w:fill="FFFFFF"/>
                <w:lang w:val="nl-NL"/>
              </w:rPr>
              <w:t>quy định pháp luật không rõ ràng, có nhiều cách hiểu khác nhau, không hợp lý, không phù hợp thực tiễn, không khả thi, gây khó khăn, vướng mắc, tạo “điểm nghẽn” trong áp dụng, thực hiện pháp luật, cản trở quá trình phát triển là chưa thống nhất giữa nội dung và tiêu chí rà soát</w:t>
            </w:r>
            <w:r>
              <w:rPr>
                <w:iCs/>
                <w:color w:val="auto"/>
                <w:sz w:val="24"/>
                <w:szCs w:val="24"/>
              </w:rPr>
              <w:t xml:space="preserve">. </w:t>
            </w:r>
          </w:p>
        </w:tc>
      </w:tr>
      <w:tr w14:paraId="23DE82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14" w:hRule="atLeast"/>
          <w:jc w:val="center"/>
        </w:trPr>
        <w:tc>
          <w:tcPr>
            <w:tcW w:w="704" w:type="dxa"/>
            <w:vMerge w:val="continue"/>
          </w:tcPr>
          <w:p w14:paraId="206AE5B7">
            <w:pPr>
              <w:widowControl w:val="0"/>
              <w:rPr>
                <w:color w:val="auto"/>
                <w:sz w:val="24"/>
                <w:szCs w:val="24"/>
              </w:rPr>
            </w:pPr>
          </w:p>
        </w:tc>
        <w:tc>
          <w:tcPr>
            <w:tcW w:w="1843" w:type="dxa"/>
            <w:vMerge w:val="continue"/>
          </w:tcPr>
          <w:p w14:paraId="6BC6A5D8">
            <w:pPr>
              <w:widowControl w:val="0"/>
              <w:rPr>
                <w:color w:val="auto"/>
                <w:sz w:val="24"/>
                <w:szCs w:val="24"/>
              </w:rPr>
            </w:pPr>
          </w:p>
        </w:tc>
        <w:tc>
          <w:tcPr>
            <w:tcW w:w="1417" w:type="dxa"/>
            <w:vMerge w:val="continue"/>
          </w:tcPr>
          <w:p w14:paraId="7454906F">
            <w:pPr>
              <w:widowControl w:val="0"/>
              <w:rPr>
                <w:color w:val="auto"/>
                <w:sz w:val="24"/>
                <w:szCs w:val="24"/>
              </w:rPr>
            </w:pPr>
          </w:p>
        </w:tc>
        <w:tc>
          <w:tcPr>
            <w:tcW w:w="4051" w:type="dxa"/>
          </w:tcPr>
          <w:p w14:paraId="544F2036">
            <w:pPr>
              <w:jc w:val="both"/>
              <w:rPr>
                <w:color w:val="auto"/>
                <w:sz w:val="24"/>
                <w:szCs w:val="24"/>
              </w:rPr>
            </w:pPr>
            <w:r>
              <w:rPr>
                <w:color w:val="auto"/>
                <w:sz w:val="24"/>
                <w:szCs w:val="24"/>
              </w:rPr>
              <w:t>Khoản 1 Điều 50 nhóm nghiên cứu mạnh được xem là hạt nhân tổ chức nghiên cứu trong các cơ sở giáo dục đại học, tổ chức khoa học và công nghệ theo thông lệ quốc tế, bảo đảm gắn kết giữa hoạt động nghiên cứu, đào tạo sau đại học, hợp tác quốc tế và phát triển năng lực khoa học, công nghệ dài hạn của quốc gia.</w:t>
            </w:r>
          </w:p>
          <w:p w14:paraId="29A7E8F8">
            <w:pPr>
              <w:jc w:val="both"/>
              <w:rPr>
                <w:rFonts w:hint="default"/>
                <w:color w:val="auto"/>
                <w:sz w:val="24"/>
                <w:szCs w:val="24"/>
                <w:lang w:val="en-US"/>
              </w:rPr>
            </w:pPr>
            <w:r>
              <w:rPr>
                <w:color w:val="auto"/>
                <w:sz w:val="24"/>
                <w:szCs w:val="24"/>
              </w:rPr>
              <w:t>Hiện nay, chưa có quy định hỗ trợ cụ thể cho đối tượng giáo sư, nhóm nghiên cứu mạnh.</w:t>
            </w:r>
          </w:p>
        </w:tc>
        <w:tc>
          <w:tcPr>
            <w:tcW w:w="1394" w:type="dxa"/>
            <w:vMerge w:val="continue"/>
          </w:tcPr>
          <w:p w14:paraId="05C6DDDE">
            <w:pPr>
              <w:widowControl w:val="0"/>
              <w:spacing w:line="276" w:lineRule="auto"/>
              <w:rPr>
                <w:color w:val="auto"/>
                <w:sz w:val="24"/>
                <w:szCs w:val="24"/>
              </w:rPr>
            </w:pPr>
          </w:p>
        </w:tc>
        <w:tc>
          <w:tcPr>
            <w:tcW w:w="1275" w:type="dxa"/>
            <w:vMerge w:val="continue"/>
          </w:tcPr>
          <w:p w14:paraId="6E6DDC1F">
            <w:pPr>
              <w:widowControl w:val="0"/>
              <w:spacing w:line="276" w:lineRule="auto"/>
              <w:rPr>
                <w:color w:val="auto"/>
                <w:sz w:val="24"/>
                <w:szCs w:val="24"/>
              </w:rPr>
            </w:pPr>
          </w:p>
        </w:tc>
        <w:tc>
          <w:tcPr>
            <w:tcW w:w="1245" w:type="dxa"/>
          </w:tcPr>
          <w:p w14:paraId="2DF01A02">
            <w:pPr>
              <w:jc w:val="both"/>
              <w:rPr>
                <w:color w:val="auto"/>
                <w:sz w:val="24"/>
                <w:szCs w:val="24"/>
              </w:rPr>
            </w:pPr>
            <w:r>
              <w:rPr>
                <w:color w:val="auto"/>
                <w:sz w:val="24"/>
                <w:szCs w:val="24"/>
              </w:rPr>
              <w:t>Tiêu chí  6</w:t>
            </w:r>
          </w:p>
          <w:p w14:paraId="3E7BADC6">
            <w:pPr>
              <w:jc w:val="both"/>
              <w:rPr>
                <w:color w:val="auto"/>
                <w:sz w:val="24"/>
                <w:szCs w:val="24"/>
              </w:rPr>
            </w:pPr>
          </w:p>
          <w:p w14:paraId="3D0A07C5">
            <w:pPr>
              <w:jc w:val="both"/>
              <w:rPr>
                <w:color w:val="auto"/>
                <w:sz w:val="24"/>
                <w:szCs w:val="24"/>
              </w:rPr>
            </w:pPr>
            <w:r>
              <w:rPr>
                <w:rFonts w:hint="default"/>
                <w:color w:val="auto"/>
                <w:sz w:val="24"/>
                <w:szCs w:val="24"/>
                <w:lang w:val="en-US"/>
              </w:rPr>
              <w:t xml:space="preserve"> </w:t>
            </w:r>
          </w:p>
        </w:tc>
        <w:tc>
          <w:tcPr>
            <w:tcW w:w="1308" w:type="dxa"/>
          </w:tcPr>
          <w:p w14:paraId="07A01821">
            <w:pPr>
              <w:jc w:val="center"/>
              <w:rPr>
                <w:color w:val="auto"/>
                <w:sz w:val="24"/>
                <w:szCs w:val="24"/>
              </w:rPr>
            </w:pPr>
            <w:r>
              <w:rPr>
                <w:rFonts w:hint="default"/>
                <w:color w:val="auto"/>
                <w:sz w:val="24"/>
                <w:szCs w:val="24"/>
                <w:lang w:val="en-US"/>
              </w:rPr>
              <w:t xml:space="preserve"> </w:t>
            </w:r>
          </w:p>
        </w:tc>
        <w:tc>
          <w:tcPr>
            <w:tcW w:w="2410" w:type="dxa"/>
          </w:tcPr>
          <w:p w14:paraId="4101DFF4">
            <w:pPr>
              <w:ind w:firstLine="284"/>
              <w:jc w:val="both"/>
              <w:rPr>
                <w:color w:val="auto"/>
                <w:sz w:val="24"/>
                <w:szCs w:val="24"/>
              </w:rPr>
            </w:pPr>
            <w:r>
              <w:rPr>
                <w:color w:val="auto"/>
                <w:sz w:val="24"/>
                <w:szCs w:val="24"/>
              </w:rPr>
              <w:t>Nhất trí.</w:t>
            </w:r>
          </w:p>
        </w:tc>
      </w:tr>
      <w:tr w14:paraId="060CA0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2" w:hRule="atLeast"/>
          <w:jc w:val="center"/>
        </w:trPr>
        <w:tc>
          <w:tcPr>
            <w:tcW w:w="704" w:type="dxa"/>
            <w:vMerge w:val="continue"/>
          </w:tcPr>
          <w:p w14:paraId="16E01C13">
            <w:pPr>
              <w:widowControl w:val="0"/>
              <w:rPr>
                <w:color w:val="auto"/>
                <w:sz w:val="24"/>
                <w:szCs w:val="24"/>
              </w:rPr>
            </w:pPr>
          </w:p>
        </w:tc>
        <w:tc>
          <w:tcPr>
            <w:tcW w:w="1843" w:type="dxa"/>
            <w:vMerge w:val="continue"/>
          </w:tcPr>
          <w:p w14:paraId="08476A22">
            <w:pPr>
              <w:widowControl w:val="0"/>
              <w:rPr>
                <w:color w:val="auto"/>
                <w:sz w:val="24"/>
                <w:szCs w:val="24"/>
              </w:rPr>
            </w:pPr>
          </w:p>
        </w:tc>
        <w:tc>
          <w:tcPr>
            <w:tcW w:w="1417" w:type="dxa"/>
            <w:vMerge w:val="continue"/>
          </w:tcPr>
          <w:p w14:paraId="59C72CA8">
            <w:pPr>
              <w:widowControl w:val="0"/>
              <w:rPr>
                <w:color w:val="auto"/>
                <w:sz w:val="24"/>
                <w:szCs w:val="24"/>
              </w:rPr>
            </w:pPr>
          </w:p>
        </w:tc>
        <w:tc>
          <w:tcPr>
            <w:tcW w:w="4051" w:type="dxa"/>
          </w:tcPr>
          <w:p w14:paraId="7E19CD95">
            <w:pPr>
              <w:jc w:val="both"/>
              <w:rPr>
                <w:color w:val="auto"/>
                <w:sz w:val="24"/>
                <w:szCs w:val="24"/>
              </w:rPr>
            </w:pPr>
            <w:r>
              <w:rPr>
                <w:color w:val="auto"/>
                <w:sz w:val="24"/>
                <w:szCs w:val="24"/>
              </w:rPr>
              <w:t>- Quy định hiện hành: Đang quy định việc quản lý rủi ro đối với nhiệm vụ sử dụng ngân sách nhà nước.</w:t>
            </w:r>
            <w:r>
              <w:rPr>
                <w:color w:val="auto"/>
                <w:sz w:val="24"/>
                <w:szCs w:val="24"/>
              </w:rPr>
              <w:br w:type="textWrapping"/>
            </w:r>
            <w:r>
              <w:rPr>
                <w:color w:val="auto"/>
                <w:sz w:val="24"/>
                <w:szCs w:val="24"/>
              </w:rPr>
              <w:t>- Vướng mắc: Điều 9 Luật KHCN&amp;ĐMST</w:t>
            </w:r>
            <w:r>
              <w:rPr>
                <w:color w:val="auto"/>
                <w:sz w:val="24"/>
                <w:szCs w:val="24"/>
              </w:rPr>
              <w:br w:type="textWrapping"/>
            </w:r>
            <w:r>
              <w:rPr>
                <w:color w:val="auto"/>
                <w:sz w:val="24"/>
                <w:szCs w:val="24"/>
              </w:rPr>
              <w:t>quy định chấp nhận rủi ro mang tính nguyên tắc cho cả DNNN, nhưng chưa có hướng dẫn cơ chế bảo vệ người ra quyết định trong DNNN (do vướng Luật Quản lý vốn NN). Việc NĐ267 gắn chữ "sử dụng NSNN" dẫn đến cách hiểu sai là các nhiệm vụ sử dụng kinh phí của DNNN không thuộc đối tượng được chấp nhận rủi ro.</w:t>
            </w:r>
          </w:p>
        </w:tc>
        <w:tc>
          <w:tcPr>
            <w:tcW w:w="1394" w:type="dxa"/>
            <w:vMerge w:val="continue"/>
          </w:tcPr>
          <w:p w14:paraId="02CA8FCA">
            <w:pPr>
              <w:widowControl w:val="0"/>
              <w:spacing w:line="276" w:lineRule="auto"/>
              <w:rPr>
                <w:color w:val="auto"/>
                <w:sz w:val="24"/>
                <w:szCs w:val="24"/>
              </w:rPr>
            </w:pPr>
          </w:p>
        </w:tc>
        <w:tc>
          <w:tcPr>
            <w:tcW w:w="1275" w:type="dxa"/>
            <w:vMerge w:val="continue"/>
          </w:tcPr>
          <w:p w14:paraId="317FC405">
            <w:pPr>
              <w:widowControl w:val="0"/>
              <w:spacing w:line="276" w:lineRule="auto"/>
              <w:rPr>
                <w:color w:val="auto"/>
                <w:sz w:val="24"/>
                <w:szCs w:val="24"/>
              </w:rPr>
            </w:pPr>
          </w:p>
        </w:tc>
        <w:tc>
          <w:tcPr>
            <w:tcW w:w="1245" w:type="dxa"/>
          </w:tcPr>
          <w:p w14:paraId="5BCA502D">
            <w:pPr>
              <w:jc w:val="both"/>
              <w:rPr>
                <w:color w:val="auto"/>
                <w:sz w:val="24"/>
                <w:szCs w:val="24"/>
              </w:rPr>
            </w:pPr>
            <w:r>
              <w:rPr>
                <w:color w:val="auto"/>
                <w:sz w:val="24"/>
                <w:szCs w:val="24"/>
              </w:rPr>
              <w:t>Tiêu chí  5</w:t>
            </w:r>
          </w:p>
        </w:tc>
        <w:tc>
          <w:tcPr>
            <w:tcW w:w="1308" w:type="dxa"/>
          </w:tcPr>
          <w:p w14:paraId="59486968">
            <w:pPr>
              <w:jc w:val="center"/>
              <w:rPr>
                <w:color w:val="auto"/>
                <w:sz w:val="24"/>
                <w:szCs w:val="24"/>
              </w:rPr>
            </w:pPr>
          </w:p>
        </w:tc>
        <w:tc>
          <w:tcPr>
            <w:tcW w:w="2410" w:type="dxa"/>
          </w:tcPr>
          <w:p w14:paraId="69C42D48">
            <w:pPr>
              <w:ind w:firstLine="284"/>
              <w:jc w:val="both"/>
              <w:rPr>
                <w:color w:val="auto"/>
                <w:sz w:val="24"/>
                <w:szCs w:val="24"/>
              </w:rPr>
            </w:pPr>
            <w:r>
              <w:rPr>
                <w:color w:val="auto"/>
                <w:sz w:val="24"/>
                <w:szCs w:val="24"/>
              </w:rPr>
              <w:t>Nhất trí.</w:t>
            </w:r>
          </w:p>
        </w:tc>
      </w:tr>
      <w:tr w14:paraId="0B4548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177" w:hRule="atLeast"/>
          <w:jc w:val="center"/>
        </w:trPr>
        <w:tc>
          <w:tcPr>
            <w:tcW w:w="704" w:type="dxa"/>
            <w:vMerge w:val="continue"/>
          </w:tcPr>
          <w:p w14:paraId="4523A64E">
            <w:pPr>
              <w:widowControl w:val="0"/>
              <w:rPr>
                <w:color w:val="auto"/>
                <w:sz w:val="24"/>
                <w:szCs w:val="24"/>
              </w:rPr>
            </w:pPr>
          </w:p>
        </w:tc>
        <w:tc>
          <w:tcPr>
            <w:tcW w:w="1843" w:type="dxa"/>
            <w:vMerge w:val="continue"/>
          </w:tcPr>
          <w:p w14:paraId="13429811">
            <w:pPr>
              <w:widowControl w:val="0"/>
              <w:rPr>
                <w:color w:val="auto"/>
                <w:sz w:val="24"/>
                <w:szCs w:val="24"/>
              </w:rPr>
            </w:pPr>
          </w:p>
        </w:tc>
        <w:tc>
          <w:tcPr>
            <w:tcW w:w="1417" w:type="dxa"/>
            <w:vMerge w:val="continue"/>
          </w:tcPr>
          <w:p w14:paraId="6CCD7C27">
            <w:pPr>
              <w:widowControl w:val="0"/>
              <w:rPr>
                <w:color w:val="auto"/>
                <w:sz w:val="24"/>
                <w:szCs w:val="24"/>
              </w:rPr>
            </w:pPr>
          </w:p>
        </w:tc>
        <w:tc>
          <w:tcPr>
            <w:tcW w:w="4051" w:type="dxa"/>
          </w:tcPr>
          <w:p w14:paraId="2A020532">
            <w:pPr>
              <w:jc w:val="both"/>
              <w:rPr>
                <w:color w:val="auto"/>
                <w:sz w:val="24"/>
                <w:szCs w:val="24"/>
              </w:rPr>
            </w:pPr>
            <w:r>
              <w:rPr>
                <w:color w:val="auto"/>
                <w:sz w:val="24"/>
                <w:szCs w:val="24"/>
              </w:rPr>
              <w:t>Khoản 1, khoản 2 Điều 10 quy định thời hạn tiếp nhận hồ sơ “phải bảo đảm đủ thời gian” nhưng không có mốc tối thiểu, tối đa. Điều này gây khó thống nhất trong triển khai, có nơi kéo dài quá lâu, có nơi quy định thời hạn quá ngắn khiến tổ chức không chuẩn bị được hồ sơ.</w:t>
            </w:r>
          </w:p>
        </w:tc>
        <w:tc>
          <w:tcPr>
            <w:tcW w:w="1394" w:type="dxa"/>
            <w:vMerge w:val="continue"/>
          </w:tcPr>
          <w:p w14:paraId="4C0D4714">
            <w:pPr>
              <w:widowControl w:val="0"/>
              <w:spacing w:line="276" w:lineRule="auto"/>
              <w:rPr>
                <w:color w:val="auto"/>
                <w:sz w:val="24"/>
                <w:szCs w:val="24"/>
              </w:rPr>
            </w:pPr>
          </w:p>
        </w:tc>
        <w:tc>
          <w:tcPr>
            <w:tcW w:w="1275" w:type="dxa"/>
            <w:vMerge w:val="continue"/>
          </w:tcPr>
          <w:p w14:paraId="002B11AA">
            <w:pPr>
              <w:widowControl w:val="0"/>
              <w:spacing w:line="276" w:lineRule="auto"/>
              <w:rPr>
                <w:color w:val="auto"/>
                <w:sz w:val="24"/>
                <w:szCs w:val="24"/>
              </w:rPr>
            </w:pPr>
          </w:p>
        </w:tc>
        <w:tc>
          <w:tcPr>
            <w:tcW w:w="1245" w:type="dxa"/>
          </w:tcPr>
          <w:p w14:paraId="27F048BD">
            <w:pPr>
              <w:jc w:val="both"/>
              <w:rPr>
                <w:color w:val="auto"/>
                <w:sz w:val="24"/>
                <w:szCs w:val="24"/>
              </w:rPr>
            </w:pPr>
            <w:r>
              <w:rPr>
                <w:color w:val="auto"/>
                <w:sz w:val="24"/>
                <w:szCs w:val="24"/>
              </w:rPr>
              <w:t>Tiêu chí  5</w:t>
            </w:r>
          </w:p>
        </w:tc>
        <w:tc>
          <w:tcPr>
            <w:tcW w:w="1308" w:type="dxa"/>
          </w:tcPr>
          <w:p w14:paraId="7A1CCEED">
            <w:pPr>
              <w:jc w:val="center"/>
              <w:rPr>
                <w:color w:val="auto"/>
                <w:sz w:val="24"/>
                <w:szCs w:val="24"/>
              </w:rPr>
            </w:pPr>
          </w:p>
        </w:tc>
        <w:tc>
          <w:tcPr>
            <w:tcW w:w="2410" w:type="dxa"/>
          </w:tcPr>
          <w:p w14:paraId="58FA5B38">
            <w:pPr>
              <w:ind w:firstLine="284"/>
              <w:jc w:val="both"/>
              <w:rPr>
                <w:color w:val="auto"/>
                <w:sz w:val="24"/>
                <w:szCs w:val="24"/>
              </w:rPr>
            </w:pPr>
            <w:r>
              <w:rPr>
                <w:color w:val="auto"/>
                <w:sz w:val="24"/>
                <w:szCs w:val="24"/>
              </w:rPr>
              <w:t>Nhất trí.</w:t>
            </w:r>
          </w:p>
        </w:tc>
      </w:tr>
      <w:tr w14:paraId="6EF851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2" w:hRule="atLeast"/>
          <w:jc w:val="center"/>
        </w:trPr>
        <w:tc>
          <w:tcPr>
            <w:tcW w:w="704" w:type="dxa"/>
            <w:vMerge w:val="continue"/>
          </w:tcPr>
          <w:p w14:paraId="0A6D8737">
            <w:pPr>
              <w:widowControl w:val="0"/>
              <w:rPr>
                <w:color w:val="auto"/>
                <w:sz w:val="24"/>
                <w:szCs w:val="24"/>
              </w:rPr>
            </w:pPr>
          </w:p>
        </w:tc>
        <w:tc>
          <w:tcPr>
            <w:tcW w:w="1843" w:type="dxa"/>
            <w:vMerge w:val="continue"/>
          </w:tcPr>
          <w:p w14:paraId="4FEE1466">
            <w:pPr>
              <w:widowControl w:val="0"/>
              <w:rPr>
                <w:color w:val="auto"/>
                <w:sz w:val="24"/>
                <w:szCs w:val="24"/>
              </w:rPr>
            </w:pPr>
          </w:p>
        </w:tc>
        <w:tc>
          <w:tcPr>
            <w:tcW w:w="1417" w:type="dxa"/>
            <w:vMerge w:val="continue"/>
          </w:tcPr>
          <w:p w14:paraId="704FE341">
            <w:pPr>
              <w:widowControl w:val="0"/>
              <w:rPr>
                <w:color w:val="auto"/>
                <w:sz w:val="24"/>
                <w:szCs w:val="24"/>
              </w:rPr>
            </w:pPr>
          </w:p>
        </w:tc>
        <w:tc>
          <w:tcPr>
            <w:tcW w:w="4051" w:type="dxa"/>
          </w:tcPr>
          <w:p w14:paraId="734C8726">
            <w:pPr>
              <w:jc w:val="both"/>
              <w:rPr>
                <w:color w:val="auto"/>
                <w:sz w:val="24"/>
                <w:szCs w:val="24"/>
              </w:rPr>
            </w:pPr>
            <w:r>
              <w:rPr>
                <w:color w:val="auto"/>
                <w:sz w:val="24"/>
                <w:szCs w:val="24"/>
              </w:rPr>
              <w:t>Khoản 6 Điều 16 quy định điều chỉnh hợp đồng tối đa 15 ngày kể từ ngày cơ quan quản lý nhiệm vụ nhận được văn bản đề xuất điều chỉnh, nhưng lại cho phép yêu cầu bổ sung tài liệu minh chứng. Chưa rõ thời hạn 15 ngày được tính từ khi nhận hồ sơ đầu tiên hay khi hồ sơ đầy đủ, dễ phát sinh tranh cãi hoặc kéo dài xử lý.</w:t>
            </w:r>
          </w:p>
        </w:tc>
        <w:tc>
          <w:tcPr>
            <w:tcW w:w="1394" w:type="dxa"/>
            <w:vMerge w:val="continue"/>
          </w:tcPr>
          <w:p w14:paraId="43E60152">
            <w:pPr>
              <w:widowControl w:val="0"/>
              <w:spacing w:line="276" w:lineRule="auto"/>
              <w:rPr>
                <w:color w:val="auto"/>
                <w:sz w:val="24"/>
                <w:szCs w:val="24"/>
              </w:rPr>
            </w:pPr>
          </w:p>
        </w:tc>
        <w:tc>
          <w:tcPr>
            <w:tcW w:w="1275" w:type="dxa"/>
            <w:vMerge w:val="continue"/>
          </w:tcPr>
          <w:p w14:paraId="7FF28C66">
            <w:pPr>
              <w:widowControl w:val="0"/>
              <w:spacing w:line="276" w:lineRule="auto"/>
              <w:rPr>
                <w:color w:val="auto"/>
                <w:sz w:val="24"/>
                <w:szCs w:val="24"/>
              </w:rPr>
            </w:pPr>
          </w:p>
        </w:tc>
        <w:tc>
          <w:tcPr>
            <w:tcW w:w="1245" w:type="dxa"/>
          </w:tcPr>
          <w:p w14:paraId="68380630">
            <w:pPr>
              <w:jc w:val="both"/>
              <w:rPr>
                <w:color w:val="auto"/>
                <w:sz w:val="24"/>
                <w:szCs w:val="24"/>
              </w:rPr>
            </w:pPr>
            <w:r>
              <w:rPr>
                <w:color w:val="auto"/>
                <w:sz w:val="24"/>
                <w:szCs w:val="24"/>
              </w:rPr>
              <w:t>Tiêu chí  5</w:t>
            </w:r>
          </w:p>
        </w:tc>
        <w:tc>
          <w:tcPr>
            <w:tcW w:w="1308" w:type="dxa"/>
          </w:tcPr>
          <w:p w14:paraId="11871DC2">
            <w:pPr>
              <w:jc w:val="center"/>
              <w:rPr>
                <w:color w:val="auto"/>
                <w:sz w:val="24"/>
                <w:szCs w:val="24"/>
              </w:rPr>
            </w:pPr>
          </w:p>
        </w:tc>
        <w:tc>
          <w:tcPr>
            <w:tcW w:w="2410" w:type="dxa"/>
          </w:tcPr>
          <w:p w14:paraId="37097C80">
            <w:pPr>
              <w:ind w:firstLine="284"/>
              <w:jc w:val="both"/>
              <w:rPr>
                <w:color w:val="auto"/>
                <w:sz w:val="24"/>
                <w:szCs w:val="24"/>
              </w:rPr>
            </w:pPr>
            <w:r>
              <w:rPr>
                <w:color w:val="auto"/>
                <w:sz w:val="24"/>
                <w:szCs w:val="24"/>
              </w:rPr>
              <w:t>Nhất trí.</w:t>
            </w:r>
          </w:p>
        </w:tc>
      </w:tr>
      <w:tr w14:paraId="013CF2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2" w:hRule="atLeast"/>
          <w:jc w:val="center"/>
        </w:trPr>
        <w:tc>
          <w:tcPr>
            <w:tcW w:w="704" w:type="dxa"/>
            <w:vMerge w:val="continue"/>
          </w:tcPr>
          <w:p w14:paraId="2CDF2338">
            <w:pPr>
              <w:widowControl w:val="0"/>
              <w:rPr>
                <w:color w:val="auto"/>
                <w:sz w:val="24"/>
                <w:szCs w:val="24"/>
              </w:rPr>
            </w:pPr>
          </w:p>
        </w:tc>
        <w:tc>
          <w:tcPr>
            <w:tcW w:w="1843" w:type="dxa"/>
            <w:vMerge w:val="continue"/>
          </w:tcPr>
          <w:p w14:paraId="292D6A58">
            <w:pPr>
              <w:widowControl w:val="0"/>
              <w:rPr>
                <w:color w:val="auto"/>
                <w:sz w:val="24"/>
                <w:szCs w:val="24"/>
              </w:rPr>
            </w:pPr>
          </w:p>
        </w:tc>
        <w:tc>
          <w:tcPr>
            <w:tcW w:w="1417" w:type="dxa"/>
            <w:vMerge w:val="continue"/>
          </w:tcPr>
          <w:p w14:paraId="284728D0">
            <w:pPr>
              <w:widowControl w:val="0"/>
              <w:rPr>
                <w:color w:val="auto"/>
                <w:sz w:val="24"/>
                <w:szCs w:val="24"/>
              </w:rPr>
            </w:pPr>
          </w:p>
        </w:tc>
        <w:tc>
          <w:tcPr>
            <w:tcW w:w="4051" w:type="dxa"/>
          </w:tcPr>
          <w:p w14:paraId="21062EAE">
            <w:pPr>
              <w:jc w:val="both"/>
              <w:rPr>
                <w:color w:val="auto"/>
                <w:sz w:val="24"/>
                <w:szCs w:val="24"/>
              </w:rPr>
            </w:pPr>
            <w:r>
              <w:rPr>
                <w:color w:val="auto"/>
                <w:sz w:val="24"/>
                <w:szCs w:val="24"/>
              </w:rPr>
              <w:t>Điểm c, điểm đ khoản 3 Điều 18 quy định tổ chức chủ trì hoặc đơn vị tiếp nhận phải cập nhật, báo cáo hiệu quả ứng dụng trong tối thiểu 05 năm. Tuy nhiên, chưa phân định rõ trách nhiệm trong trường hợp kết quả đã bàn giao cho cơ quan đặt hàng/đơn vị tiếp nhận; tổ chức chủ trì không còn quyền khai thác dữ liệu ứng dụng nhưng vẫn có nguy cơ bị đánh giá là không có kết quả triển khai ứng dụng.</w:t>
            </w:r>
          </w:p>
        </w:tc>
        <w:tc>
          <w:tcPr>
            <w:tcW w:w="1394" w:type="dxa"/>
            <w:vMerge w:val="continue"/>
          </w:tcPr>
          <w:p w14:paraId="377D5084">
            <w:pPr>
              <w:widowControl w:val="0"/>
              <w:spacing w:line="276" w:lineRule="auto"/>
              <w:rPr>
                <w:color w:val="auto"/>
                <w:sz w:val="24"/>
                <w:szCs w:val="24"/>
              </w:rPr>
            </w:pPr>
          </w:p>
        </w:tc>
        <w:tc>
          <w:tcPr>
            <w:tcW w:w="1275" w:type="dxa"/>
            <w:vMerge w:val="continue"/>
          </w:tcPr>
          <w:p w14:paraId="52770C32">
            <w:pPr>
              <w:widowControl w:val="0"/>
              <w:spacing w:line="276" w:lineRule="auto"/>
              <w:rPr>
                <w:color w:val="auto"/>
                <w:sz w:val="24"/>
                <w:szCs w:val="24"/>
              </w:rPr>
            </w:pPr>
          </w:p>
        </w:tc>
        <w:tc>
          <w:tcPr>
            <w:tcW w:w="1245" w:type="dxa"/>
          </w:tcPr>
          <w:p w14:paraId="367C7DB0">
            <w:pPr>
              <w:jc w:val="both"/>
              <w:rPr>
                <w:color w:val="auto"/>
                <w:sz w:val="24"/>
                <w:szCs w:val="24"/>
              </w:rPr>
            </w:pPr>
            <w:r>
              <w:rPr>
                <w:color w:val="auto"/>
                <w:sz w:val="24"/>
                <w:szCs w:val="24"/>
              </w:rPr>
              <w:t>Tiêu chí  5</w:t>
            </w:r>
          </w:p>
        </w:tc>
        <w:tc>
          <w:tcPr>
            <w:tcW w:w="1308" w:type="dxa"/>
          </w:tcPr>
          <w:p w14:paraId="5DBA0D17">
            <w:pPr>
              <w:jc w:val="center"/>
              <w:rPr>
                <w:color w:val="auto"/>
                <w:sz w:val="24"/>
                <w:szCs w:val="24"/>
              </w:rPr>
            </w:pPr>
          </w:p>
        </w:tc>
        <w:tc>
          <w:tcPr>
            <w:tcW w:w="2410" w:type="dxa"/>
          </w:tcPr>
          <w:p w14:paraId="1E6FFA3B">
            <w:pPr>
              <w:ind w:firstLine="284"/>
              <w:jc w:val="both"/>
              <w:rPr>
                <w:color w:val="auto"/>
                <w:sz w:val="24"/>
                <w:szCs w:val="24"/>
              </w:rPr>
            </w:pPr>
            <w:r>
              <w:rPr>
                <w:color w:val="auto"/>
                <w:sz w:val="24"/>
                <w:szCs w:val="24"/>
              </w:rPr>
              <w:t>Nhất trí.</w:t>
            </w:r>
          </w:p>
        </w:tc>
      </w:tr>
      <w:tr w14:paraId="3A9CE3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2" w:hRule="atLeast"/>
          <w:jc w:val="center"/>
        </w:trPr>
        <w:tc>
          <w:tcPr>
            <w:tcW w:w="704" w:type="dxa"/>
            <w:vMerge w:val="continue"/>
          </w:tcPr>
          <w:p w14:paraId="21FDDD3A">
            <w:pPr>
              <w:widowControl w:val="0"/>
              <w:rPr>
                <w:color w:val="auto"/>
                <w:sz w:val="24"/>
                <w:szCs w:val="24"/>
              </w:rPr>
            </w:pPr>
          </w:p>
        </w:tc>
        <w:tc>
          <w:tcPr>
            <w:tcW w:w="1843" w:type="dxa"/>
            <w:vMerge w:val="continue"/>
          </w:tcPr>
          <w:p w14:paraId="715641A5">
            <w:pPr>
              <w:widowControl w:val="0"/>
              <w:rPr>
                <w:color w:val="auto"/>
                <w:sz w:val="24"/>
                <w:szCs w:val="24"/>
              </w:rPr>
            </w:pPr>
          </w:p>
        </w:tc>
        <w:tc>
          <w:tcPr>
            <w:tcW w:w="1417" w:type="dxa"/>
            <w:vMerge w:val="continue"/>
          </w:tcPr>
          <w:p w14:paraId="054C33BA">
            <w:pPr>
              <w:widowControl w:val="0"/>
              <w:rPr>
                <w:color w:val="auto"/>
                <w:sz w:val="24"/>
                <w:szCs w:val="24"/>
              </w:rPr>
            </w:pPr>
          </w:p>
        </w:tc>
        <w:tc>
          <w:tcPr>
            <w:tcW w:w="4051" w:type="dxa"/>
          </w:tcPr>
          <w:p w14:paraId="4F6FEB24">
            <w:pPr>
              <w:jc w:val="both"/>
              <w:rPr>
                <w:color w:val="auto"/>
                <w:sz w:val="24"/>
                <w:szCs w:val="24"/>
              </w:rPr>
            </w:pPr>
            <w:r>
              <w:rPr>
                <w:color w:val="auto"/>
                <w:sz w:val="24"/>
                <w:szCs w:val="24"/>
              </w:rPr>
              <w:t xml:space="preserve">Khoản 5 Điều 26 quy định: “5. Căn cứ kết quả thẩm định, Bộ Khoa học và Công nghệ chủ trì, phối hợp với cơ quan đề xuất và các cơ quan có liên quan, hoàn thiện hồ sơ trình Thủ tướng Chính phủ xem xét, phê duyệt nhiệm vụ khoa học, công nghệ và đổi mới sáng tạo đặc biệt” </w:t>
            </w:r>
            <w:r>
              <w:rPr>
                <w:color w:val="auto"/>
                <w:sz w:val="24"/>
                <w:szCs w:val="24"/>
              </w:rPr>
              <w:br w:type="textWrapping"/>
            </w:r>
            <w:r>
              <w:rPr>
                <w:color w:val="auto"/>
                <w:sz w:val="24"/>
                <w:szCs w:val="24"/>
              </w:rPr>
              <w:t xml:space="preserve">- Vướng mắc: để thuận lợi trong việc trình Thủ tướng ban hành hoặc chủ động điều chỉnh trong quá trình thực hiện, thì cần phân cấp cho cơ quan chủ trì xây dựng trình Thủ tướng Chính phủ. </w:t>
            </w:r>
          </w:p>
          <w:p w14:paraId="027174BA">
            <w:pPr>
              <w:jc w:val="both"/>
              <w:rPr>
                <w:color w:val="auto"/>
                <w:sz w:val="24"/>
                <w:szCs w:val="24"/>
              </w:rPr>
            </w:pPr>
            <w:r>
              <w:rPr>
                <w:color w:val="auto"/>
                <w:sz w:val="24"/>
                <w:szCs w:val="24"/>
              </w:rPr>
              <w:t>Phù hợp với thực tiễn triển khai</w:t>
            </w:r>
          </w:p>
        </w:tc>
        <w:tc>
          <w:tcPr>
            <w:tcW w:w="1394" w:type="dxa"/>
            <w:vMerge w:val="continue"/>
          </w:tcPr>
          <w:p w14:paraId="44C282B4">
            <w:pPr>
              <w:widowControl w:val="0"/>
              <w:spacing w:line="276" w:lineRule="auto"/>
              <w:rPr>
                <w:color w:val="auto"/>
                <w:sz w:val="24"/>
                <w:szCs w:val="24"/>
              </w:rPr>
            </w:pPr>
          </w:p>
        </w:tc>
        <w:tc>
          <w:tcPr>
            <w:tcW w:w="1275" w:type="dxa"/>
            <w:vMerge w:val="continue"/>
          </w:tcPr>
          <w:p w14:paraId="448F3A74">
            <w:pPr>
              <w:widowControl w:val="0"/>
              <w:spacing w:line="276" w:lineRule="auto"/>
              <w:rPr>
                <w:color w:val="auto"/>
                <w:sz w:val="24"/>
                <w:szCs w:val="24"/>
              </w:rPr>
            </w:pPr>
          </w:p>
        </w:tc>
        <w:tc>
          <w:tcPr>
            <w:tcW w:w="1245" w:type="dxa"/>
          </w:tcPr>
          <w:p w14:paraId="19BE418B">
            <w:pPr>
              <w:jc w:val="both"/>
              <w:rPr>
                <w:color w:val="auto"/>
                <w:sz w:val="24"/>
                <w:szCs w:val="24"/>
              </w:rPr>
            </w:pPr>
            <w:r>
              <w:rPr>
                <w:color w:val="auto"/>
                <w:sz w:val="24"/>
                <w:szCs w:val="24"/>
              </w:rPr>
              <w:t>Tiêu chí  5</w:t>
            </w:r>
          </w:p>
        </w:tc>
        <w:tc>
          <w:tcPr>
            <w:tcW w:w="1308" w:type="dxa"/>
          </w:tcPr>
          <w:p w14:paraId="12F67657">
            <w:pPr>
              <w:jc w:val="center"/>
              <w:rPr>
                <w:color w:val="auto"/>
                <w:sz w:val="24"/>
                <w:szCs w:val="24"/>
              </w:rPr>
            </w:pPr>
          </w:p>
        </w:tc>
        <w:tc>
          <w:tcPr>
            <w:tcW w:w="2410" w:type="dxa"/>
          </w:tcPr>
          <w:p w14:paraId="2CFB1591">
            <w:pPr>
              <w:ind w:firstLine="284"/>
              <w:jc w:val="both"/>
              <w:rPr>
                <w:color w:val="auto"/>
                <w:sz w:val="24"/>
                <w:szCs w:val="24"/>
              </w:rPr>
            </w:pPr>
            <w:r>
              <w:rPr>
                <w:color w:val="auto"/>
                <w:sz w:val="24"/>
                <w:szCs w:val="24"/>
              </w:rPr>
              <w:t>Nhất trí.</w:t>
            </w:r>
          </w:p>
        </w:tc>
      </w:tr>
      <w:tr w14:paraId="12F38A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2" w:hRule="atLeast"/>
          <w:jc w:val="center"/>
        </w:trPr>
        <w:tc>
          <w:tcPr>
            <w:tcW w:w="704" w:type="dxa"/>
            <w:vMerge w:val="continue"/>
          </w:tcPr>
          <w:p w14:paraId="5A0FD3B9">
            <w:pPr>
              <w:widowControl w:val="0"/>
              <w:rPr>
                <w:color w:val="auto"/>
                <w:sz w:val="24"/>
                <w:szCs w:val="24"/>
              </w:rPr>
            </w:pPr>
          </w:p>
        </w:tc>
        <w:tc>
          <w:tcPr>
            <w:tcW w:w="1843" w:type="dxa"/>
            <w:vMerge w:val="continue"/>
          </w:tcPr>
          <w:p w14:paraId="7EB8919D">
            <w:pPr>
              <w:widowControl w:val="0"/>
              <w:rPr>
                <w:color w:val="auto"/>
                <w:sz w:val="24"/>
                <w:szCs w:val="24"/>
              </w:rPr>
            </w:pPr>
          </w:p>
        </w:tc>
        <w:tc>
          <w:tcPr>
            <w:tcW w:w="1417" w:type="dxa"/>
            <w:vMerge w:val="continue"/>
          </w:tcPr>
          <w:p w14:paraId="50D06292">
            <w:pPr>
              <w:widowControl w:val="0"/>
              <w:rPr>
                <w:color w:val="auto"/>
                <w:sz w:val="24"/>
                <w:szCs w:val="24"/>
              </w:rPr>
            </w:pPr>
          </w:p>
        </w:tc>
        <w:tc>
          <w:tcPr>
            <w:tcW w:w="4051" w:type="dxa"/>
          </w:tcPr>
          <w:p w14:paraId="4AFE532F">
            <w:pPr>
              <w:spacing w:before="120" w:after="120"/>
              <w:jc w:val="both"/>
              <w:rPr>
                <w:color w:val="auto"/>
                <w:sz w:val="24"/>
                <w:szCs w:val="24"/>
              </w:rPr>
            </w:pPr>
            <w:r>
              <w:rPr>
                <w:color w:val="auto"/>
                <w:sz w:val="24"/>
                <w:szCs w:val="24"/>
              </w:rPr>
              <w:t>Luật chưa có quy định cụ thể về việc điều chỉnh danh mục nhiệm vụ khoa học và công nghệ đã được phê duyệt, đặc biệt đối với các nhiệm vụ khoa học phát sinh đột xuất trong quá trình thực hiện kế hoạch.</w:t>
            </w:r>
          </w:p>
          <w:p w14:paraId="74AE36A3">
            <w:pPr>
              <w:spacing w:before="120" w:after="120"/>
              <w:jc w:val="both"/>
              <w:rPr>
                <w:color w:val="auto"/>
                <w:sz w:val="24"/>
                <w:szCs w:val="24"/>
              </w:rPr>
            </w:pPr>
            <w:r>
              <w:rPr>
                <w:color w:val="auto"/>
                <w:sz w:val="24"/>
                <w:szCs w:val="24"/>
              </w:rPr>
              <w:t xml:space="preserve">Trong thực tiễn, sau khi Tòa án nhân dân tối cao đã ban hành quyết định phê duyệt danh mục nhiệm vụ khoa học và công nghệ, thường phát sinh các nhiệm vụ khoa học đột xuất xuất phát từ chủ trương, chính sách mới của Đảng, Nhà nước; yêu cầu hoàn thiện thể chế, giải quyết các vấn đề cấp bách của Tòa án nhân dân; các nhiệm vụ phục vụ xây dựng luật, nghị quyết, đề án quan trọng. </w:t>
            </w:r>
          </w:p>
          <w:p w14:paraId="40C2F1FB">
            <w:pPr>
              <w:spacing w:before="120" w:after="120"/>
              <w:jc w:val="both"/>
              <w:rPr>
                <w:color w:val="auto"/>
                <w:sz w:val="24"/>
                <w:szCs w:val="24"/>
              </w:rPr>
            </w:pPr>
            <w:r>
              <w:rPr>
                <w:color w:val="auto"/>
                <w:sz w:val="24"/>
                <w:szCs w:val="24"/>
              </w:rPr>
              <w:t>Do chưa có cơ sở pháp lý cho việc bổ sung nhiệm vụ khoa học đột xuất nên Tòa án nhân dân tối cao gặp khó khăn trong việc bố trí kinh phí và triển khai nghiên cứu kịp thời các nhiệm vụ khoa học trên.</w:t>
            </w:r>
          </w:p>
          <w:p w14:paraId="5F8F89D6">
            <w:pPr>
              <w:jc w:val="both"/>
              <w:rPr>
                <w:b/>
                <w:bCs/>
                <w:i/>
                <w:iCs/>
                <w:color w:val="auto"/>
                <w:sz w:val="24"/>
                <w:szCs w:val="24"/>
              </w:rPr>
            </w:pPr>
            <w:r>
              <w:rPr>
                <w:color w:val="auto"/>
                <w:sz w:val="24"/>
                <w:szCs w:val="24"/>
              </w:rPr>
              <w:t xml:space="preserve">Để khắc phục vướng mắc, bất cập nêu trên, Tòa án nhân dân tối cao đề nghị quý Bộ đề xuất xử lý theo hướng bổ sung quy định về điều chỉnh danh mục và dự toán kinh phí vào Nghị định 267/NĐ-CP trong dự thảo Nghị quyết của Chính phủ về xử lý khó khăn, vướng mắc trong quy định về lập, phân bổ và giao dự toán chi sự nghiệp cho hoạt động khoa học, công nghệ và đổi mới sáng tạo như sau </w:t>
            </w:r>
            <w:r>
              <w:rPr>
                <w:i/>
                <w:iCs/>
                <w:color w:val="auto"/>
                <w:sz w:val="24"/>
                <w:szCs w:val="24"/>
              </w:rPr>
              <w:t>“</w:t>
            </w:r>
            <w:r>
              <w:rPr>
                <w:b/>
                <w:bCs/>
                <w:i/>
                <w:iCs/>
                <w:color w:val="auto"/>
                <w:sz w:val="24"/>
                <w:szCs w:val="24"/>
              </w:rPr>
              <w:t>Điều 13a.</w:t>
            </w:r>
            <w:r>
              <w:rPr>
                <w:i/>
                <w:iCs/>
                <w:color w:val="auto"/>
                <w:sz w:val="24"/>
                <w:szCs w:val="24"/>
              </w:rPr>
              <w:t xml:space="preserve"> </w:t>
            </w:r>
            <w:r>
              <w:rPr>
                <w:b/>
                <w:bCs/>
                <w:i/>
                <w:iCs/>
                <w:color w:val="auto"/>
                <w:sz w:val="24"/>
                <w:szCs w:val="24"/>
              </w:rPr>
              <w:t>Điều chỉnh danh mục và dự toán kinh phí thực hiện nhiệm vụ khoa học</w:t>
            </w:r>
          </w:p>
          <w:p w14:paraId="04BCBC26">
            <w:pPr>
              <w:spacing w:before="120" w:after="120"/>
              <w:jc w:val="both"/>
              <w:rPr>
                <w:i/>
                <w:iCs/>
                <w:color w:val="auto"/>
                <w:sz w:val="24"/>
                <w:szCs w:val="24"/>
              </w:rPr>
            </w:pPr>
            <w:r>
              <w:rPr>
                <w:i/>
                <w:iCs/>
                <w:color w:val="auto"/>
                <w:sz w:val="24"/>
                <w:szCs w:val="24"/>
              </w:rPr>
              <w:t>1. Căn cứ vào Quyết định của Bộ Tài chính về giao dự toán chi sự nghiệp khoa học và công nghệ và thông báo của Bộ Khoa học và Công nghệ về nội dung kế hoạch khoa học và công nghệ, trên cơ sở các nhiệm vụ khoa học đột xuất phát sinh, các Bộ, ngành tổ chức rà soát, cân đối kinh phí, điều chỉnh danh mục và dự toán kinh phí nhiệm vụ khoa học.</w:t>
            </w:r>
          </w:p>
          <w:p w14:paraId="4E2896D6">
            <w:pPr>
              <w:jc w:val="both"/>
              <w:rPr>
                <w:color w:val="auto"/>
                <w:sz w:val="24"/>
                <w:szCs w:val="24"/>
              </w:rPr>
            </w:pPr>
            <w:r>
              <w:rPr>
                <w:i/>
                <w:iCs/>
                <w:color w:val="auto"/>
                <w:sz w:val="24"/>
                <w:szCs w:val="24"/>
              </w:rPr>
              <w:t xml:space="preserve"> 2. Việc bổ sung các nhiệm vụ khoa học đột xuất của các Bộ, ngành phải tuân thủ các quy định của pháp luật về trình tự xét tài trợ, đặt hàng các nhiệm vụ khoa học và công nghệ”</w:t>
            </w:r>
            <w:r>
              <w:rPr>
                <w:color w:val="auto"/>
                <w:sz w:val="24"/>
                <w:szCs w:val="24"/>
              </w:rPr>
              <w:t xml:space="preserve"> </w:t>
            </w:r>
          </w:p>
        </w:tc>
        <w:tc>
          <w:tcPr>
            <w:tcW w:w="1394" w:type="dxa"/>
            <w:vMerge w:val="continue"/>
          </w:tcPr>
          <w:p w14:paraId="7FE4F307">
            <w:pPr>
              <w:widowControl w:val="0"/>
              <w:spacing w:line="276" w:lineRule="auto"/>
              <w:rPr>
                <w:color w:val="auto"/>
                <w:sz w:val="24"/>
                <w:szCs w:val="24"/>
              </w:rPr>
            </w:pPr>
          </w:p>
        </w:tc>
        <w:tc>
          <w:tcPr>
            <w:tcW w:w="1275" w:type="dxa"/>
            <w:vMerge w:val="continue"/>
          </w:tcPr>
          <w:p w14:paraId="35F9CE18">
            <w:pPr>
              <w:widowControl w:val="0"/>
              <w:spacing w:line="276" w:lineRule="auto"/>
              <w:rPr>
                <w:color w:val="auto"/>
                <w:sz w:val="24"/>
                <w:szCs w:val="24"/>
              </w:rPr>
            </w:pPr>
          </w:p>
        </w:tc>
        <w:tc>
          <w:tcPr>
            <w:tcW w:w="1245" w:type="dxa"/>
          </w:tcPr>
          <w:p w14:paraId="686C5DEE">
            <w:pPr>
              <w:jc w:val="both"/>
              <w:rPr>
                <w:color w:val="auto"/>
                <w:sz w:val="24"/>
                <w:szCs w:val="24"/>
              </w:rPr>
            </w:pPr>
            <w:r>
              <w:rPr>
                <w:color w:val="auto"/>
                <w:sz w:val="24"/>
                <w:szCs w:val="24"/>
              </w:rPr>
              <w:t>Tiêu chí  5</w:t>
            </w:r>
          </w:p>
        </w:tc>
        <w:tc>
          <w:tcPr>
            <w:tcW w:w="1308" w:type="dxa"/>
          </w:tcPr>
          <w:p w14:paraId="1E4E4042">
            <w:pPr>
              <w:jc w:val="center"/>
              <w:rPr>
                <w:color w:val="auto"/>
                <w:sz w:val="24"/>
                <w:szCs w:val="24"/>
              </w:rPr>
            </w:pPr>
            <w:r>
              <w:rPr>
                <w:color w:val="auto"/>
                <w:sz w:val="24"/>
                <w:szCs w:val="24"/>
              </w:rPr>
              <w:t>Tòa án nhân dân tối cao</w:t>
            </w:r>
          </w:p>
        </w:tc>
        <w:tc>
          <w:tcPr>
            <w:tcW w:w="2410" w:type="dxa"/>
          </w:tcPr>
          <w:p w14:paraId="686419DF">
            <w:pPr>
              <w:ind w:firstLine="284"/>
              <w:jc w:val="both"/>
              <w:rPr>
                <w:color w:val="auto"/>
                <w:sz w:val="24"/>
                <w:szCs w:val="24"/>
              </w:rPr>
            </w:pPr>
            <w:r>
              <w:rPr>
                <w:color w:val="auto"/>
                <w:sz w:val="24"/>
                <w:szCs w:val="24"/>
              </w:rPr>
              <w:t>Nhất trí</w:t>
            </w:r>
          </w:p>
        </w:tc>
      </w:tr>
      <w:tr w14:paraId="045DBC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124" w:hRule="atLeast"/>
          <w:jc w:val="center"/>
        </w:trPr>
        <w:tc>
          <w:tcPr>
            <w:tcW w:w="704" w:type="dxa"/>
            <w:vMerge w:val="restart"/>
          </w:tcPr>
          <w:p w14:paraId="66DF8B56">
            <w:pPr>
              <w:numPr>
                <w:ilvl w:val="0"/>
                <w:numId w:val="1"/>
              </w:numPr>
              <w:tabs>
                <w:tab w:val="left" w:pos="425"/>
              </w:tabs>
              <w:ind w:left="501" w:leftChars="0" w:firstLineChars="0"/>
              <w:rPr>
                <w:color w:val="auto"/>
                <w:sz w:val="24"/>
                <w:szCs w:val="24"/>
              </w:rPr>
            </w:pPr>
          </w:p>
        </w:tc>
        <w:tc>
          <w:tcPr>
            <w:tcW w:w="1843" w:type="dxa"/>
            <w:vMerge w:val="restart"/>
          </w:tcPr>
          <w:p w14:paraId="3CADA5E7">
            <w:pPr>
              <w:spacing w:before="120"/>
              <w:jc w:val="both"/>
              <w:rPr>
                <w:color w:val="auto"/>
                <w:sz w:val="24"/>
                <w:szCs w:val="24"/>
              </w:rPr>
            </w:pPr>
            <w:r>
              <w:rPr>
                <w:color w:val="auto"/>
                <w:sz w:val="24"/>
                <w:szCs w:val="24"/>
              </w:rPr>
              <w:t>Nghị định số 268/2025/NĐ-CP ngày 14/10/2025 của Chính phủ Quy định chi tiết và hướng dẫn một số điều của Luật Khoa học, công nghệ và đổi mới sáng tạo về đổi mới sáng tạo; khuyến khích hoạt động khoa học, công nghệ và đổi mới sáng tạo trong doanh nghiệp; công nhận trung tâm đổi mới sáng tạo, hỗ trợ khởi nghiệp sáng tạo; công nhận cá nhân, doanh nghiệp khởi nghiệp sáng tạo; hạ tầng mạng lưới và hệ sinh thái khởi nghiệp sáng tạo.</w:t>
            </w:r>
          </w:p>
        </w:tc>
        <w:tc>
          <w:tcPr>
            <w:tcW w:w="1417" w:type="dxa"/>
            <w:vMerge w:val="restart"/>
          </w:tcPr>
          <w:p w14:paraId="6403922F">
            <w:pPr>
              <w:spacing w:before="120"/>
              <w:jc w:val="both"/>
              <w:rPr>
                <w:color w:val="auto"/>
                <w:sz w:val="24"/>
                <w:szCs w:val="24"/>
              </w:rPr>
            </w:pPr>
            <w:r>
              <w:rPr>
                <w:color w:val="auto"/>
                <w:sz w:val="24"/>
                <w:szCs w:val="24"/>
              </w:rPr>
              <w:t>Tình hình thực tiễn</w:t>
            </w:r>
          </w:p>
        </w:tc>
        <w:tc>
          <w:tcPr>
            <w:tcW w:w="4051" w:type="dxa"/>
          </w:tcPr>
          <w:p w14:paraId="17904729">
            <w:pPr>
              <w:spacing w:after="120"/>
              <w:ind w:right="134"/>
              <w:jc w:val="both"/>
              <w:rPr>
                <w:color w:val="auto"/>
                <w:sz w:val="24"/>
                <w:szCs w:val="24"/>
              </w:rPr>
            </w:pPr>
            <w:r>
              <w:rPr>
                <w:color w:val="auto"/>
                <w:sz w:val="24"/>
                <w:szCs w:val="24"/>
              </w:rPr>
              <w:t>Tại Điều 29 Nghị định số 268/2025/NĐ-CP quy định tiêu chí xác định trung tâm đổi mới sáng tạo, trong đó khoản 3 Điều 29 quy định cần có tiêu chí “Có hạ tầng kỹ thuật đáp ứng yêu cầu thực hiện đổi mới sáng tạo, hỗ trợ đổi mới sáng tạo và khởi nghiệp sáng tạo phù hợp với ngành, lĩnh vực, địa phương”.</w:t>
            </w:r>
          </w:p>
          <w:p w14:paraId="470C0DDA">
            <w:pPr>
              <w:spacing w:after="120"/>
              <w:ind w:right="134"/>
              <w:jc w:val="both"/>
              <w:rPr>
                <w:color w:val="auto"/>
                <w:sz w:val="24"/>
                <w:szCs w:val="24"/>
              </w:rPr>
            </w:pPr>
            <w:r>
              <w:rPr>
                <w:color w:val="auto"/>
                <w:sz w:val="24"/>
                <w:szCs w:val="24"/>
              </w:rPr>
              <w:t>Tại khoản 1 Điều 30, khoản 1 Điều 31 Nghị định số 268/2025/NĐ-CP quy định Tiêu chí xác định trung tâm đổi mới sáng tạo cấp tỉnh và cấp quốc gia thì chỉ yêu cầu đáp ứng tiêu chí quy định tại khoản 1 và khoản 2 Điều 29, nghĩa là không yêu cầu đáp ứng tiêu chí về “hạ tầng kỹ thuật” như nêu tại khoản 3 Điều 29 Nghị định số 268/2025/NĐ-CP.</w:t>
            </w:r>
          </w:p>
          <w:p w14:paraId="2E4347C7">
            <w:pPr>
              <w:spacing w:after="120"/>
              <w:ind w:right="134"/>
              <w:jc w:val="both"/>
              <w:rPr>
                <w:color w:val="auto"/>
                <w:sz w:val="24"/>
                <w:szCs w:val="24"/>
              </w:rPr>
            </w:pPr>
            <w:r>
              <w:rPr>
                <w:color w:val="auto"/>
                <w:sz w:val="24"/>
                <w:szCs w:val="24"/>
              </w:rPr>
              <w:t>Tại mục 4.4, 4.5 của Mẫu số IV.5.1.1 (Phiếu đánh giá thẩm định hồ sơ yêu cầu công nhận trung tâm đổi mới sáng tạo) lại nêu tiêu chí “Đáp ứng tiêu chí về hạ tầng kỹ thuật do bộ, cơ quan ngang bộ/UBND cấp tỉnh ban hành (nếu có)”, nghĩa là việc đáp ứng tiêu chí về hạ tầng kỹ thuật là không bắt buộc.</w:t>
            </w:r>
          </w:p>
          <w:p w14:paraId="6B6F3DC4">
            <w:pPr>
              <w:spacing w:after="120"/>
              <w:ind w:right="134"/>
              <w:jc w:val="both"/>
              <w:rPr>
                <w:color w:val="auto"/>
                <w:sz w:val="24"/>
                <w:szCs w:val="24"/>
              </w:rPr>
            </w:pPr>
            <w:r>
              <w:rPr>
                <w:color w:val="auto"/>
                <w:sz w:val="24"/>
                <w:szCs w:val="24"/>
              </w:rPr>
              <w:t>Tại khoản 1 và 3 Điều 40 Nghị định số 268/2025/NĐ-CP lại quy định “Bộ, cơ quan ngang bộ/Ủy ban nhân dân cấp tỉnh xây dựng và ban hành tiêu chí về hạ tầng kỹ thuật của trung tâm đổi mới sáng tạo cấp tỉnh trong phạm vi quản lý”, nghĩa là tiêu chí về hạ tầng kỹ thuật là bắt buộc</w:t>
            </w:r>
          </w:p>
          <w:p w14:paraId="781235C0">
            <w:pPr>
              <w:spacing w:after="120"/>
              <w:ind w:right="134"/>
              <w:jc w:val="both"/>
              <w:rPr>
                <w:color w:val="auto"/>
                <w:sz w:val="24"/>
                <w:szCs w:val="24"/>
              </w:rPr>
            </w:pPr>
            <w:r>
              <w:rPr>
                <w:color w:val="auto"/>
                <w:sz w:val="24"/>
                <w:szCs w:val="24"/>
              </w:rPr>
              <w:t>Như vậy, các yêu cầu về tiêu chí hạ tầng kỹ thuật tại Điều 29, 30, 31, 40 và Mẫu số V.5.1.1 Nghị định số 268/2025/NĐ-CP đang mâu thuẫn</w:t>
            </w:r>
          </w:p>
        </w:tc>
        <w:tc>
          <w:tcPr>
            <w:tcW w:w="1394" w:type="dxa"/>
            <w:vMerge w:val="restart"/>
          </w:tcPr>
          <w:p w14:paraId="1BC40D62">
            <w:pPr>
              <w:jc w:val="center"/>
              <w:rPr>
                <w:color w:val="auto"/>
                <w:sz w:val="24"/>
                <w:szCs w:val="24"/>
              </w:rPr>
            </w:pPr>
            <w:r>
              <w:rPr>
                <w:color w:val="auto"/>
                <w:sz w:val="24"/>
                <w:szCs w:val="24"/>
              </w:rPr>
              <w:t>sửa đổi, bổ sung</w:t>
            </w:r>
          </w:p>
        </w:tc>
        <w:tc>
          <w:tcPr>
            <w:tcW w:w="1275" w:type="dxa"/>
            <w:vMerge w:val="restart"/>
          </w:tcPr>
          <w:p w14:paraId="7E2BD7ED">
            <w:pPr>
              <w:jc w:val="center"/>
              <w:rPr>
                <w:color w:val="auto"/>
                <w:sz w:val="24"/>
                <w:szCs w:val="24"/>
              </w:rPr>
            </w:pPr>
            <w:r>
              <w:rPr>
                <w:rFonts w:hint="default"/>
                <w:color w:val="auto"/>
                <w:sz w:val="24"/>
                <w:szCs w:val="24"/>
                <w:lang w:val="en-US"/>
              </w:rPr>
              <w:t>Tháng 12/</w:t>
            </w:r>
            <w:r>
              <w:rPr>
                <w:color w:val="auto"/>
                <w:sz w:val="24"/>
                <w:szCs w:val="24"/>
              </w:rPr>
              <w:t>2027</w:t>
            </w:r>
          </w:p>
        </w:tc>
        <w:tc>
          <w:tcPr>
            <w:tcW w:w="1245" w:type="dxa"/>
            <w:tcBorders>
              <w:bottom w:val="single" w:color="auto" w:sz="4" w:space="0"/>
            </w:tcBorders>
          </w:tcPr>
          <w:p w14:paraId="1C0683E1">
            <w:pPr>
              <w:jc w:val="center"/>
              <w:rPr>
                <w:rFonts w:hint="default"/>
                <w:color w:val="auto"/>
                <w:sz w:val="24"/>
                <w:szCs w:val="24"/>
                <w:lang w:val="en-US"/>
              </w:rPr>
            </w:pPr>
            <w:r>
              <w:rPr>
                <w:color w:val="auto"/>
                <w:sz w:val="24"/>
                <w:szCs w:val="24"/>
              </w:rPr>
              <w:t xml:space="preserve">Tiêu chí  </w:t>
            </w:r>
            <w:r>
              <w:rPr>
                <w:rFonts w:hint="default"/>
                <w:color w:val="auto"/>
                <w:sz w:val="24"/>
                <w:szCs w:val="24"/>
                <w:lang w:val="en-US"/>
              </w:rPr>
              <w:t>2.3</w:t>
            </w:r>
          </w:p>
        </w:tc>
        <w:tc>
          <w:tcPr>
            <w:tcW w:w="1308" w:type="dxa"/>
            <w:tcBorders>
              <w:bottom w:val="single" w:color="auto" w:sz="4" w:space="0"/>
            </w:tcBorders>
          </w:tcPr>
          <w:p w14:paraId="41D33039">
            <w:pPr>
              <w:jc w:val="center"/>
              <w:rPr>
                <w:color w:val="auto"/>
                <w:sz w:val="24"/>
                <w:szCs w:val="24"/>
              </w:rPr>
            </w:pPr>
            <w:r>
              <w:rPr>
                <w:color w:val="auto"/>
                <w:sz w:val="24"/>
                <w:szCs w:val="24"/>
              </w:rPr>
              <w:t xml:space="preserve">Đã cập nhật theo ý kiến thẩm định  </w:t>
            </w:r>
          </w:p>
        </w:tc>
        <w:tc>
          <w:tcPr>
            <w:tcW w:w="2410" w:type="dxa"/>
            <w:tcBorders>
              <w:bottom w:val="single" w:color="auto" w:sz="4" w:space="0"/>
            </w:tcBorders>
          </w:tcPr>
          <w:p w14:paraId="2F622FBB">
            <w:pPr>
              <w:ind w:firstLine="284"/>
              <w:jc w:val="both"/>
              <w:rPr>
                <w:color w:val="auto"/>
                <w:sz w:val="24"/>
                <w:szCs w:val="24"/>
              </w:rPr>
            </w:pPr>
            <w:r>
              <w:rPr>
                <w:color w:val="auto"/>
                <w:sz w:val="24"/>
                <w:szCs w:val="24"/>
              </w:rPr>
              <w:t>Cần làm rõ, hoàn thiện thêm để xác định chính xác Tiêu chí rà soát, đề nghị cân nhắc xếp vào Tiêu chí 2.</w:t>
            </w:r>
          </w:p>
          <w:p w14:paraId="4913B8E1">
            <w:pPr>
              <w:ind w:firstLine="284"/>
              <w:jc w:val="both"/>
              <w:rPr>
                <w:bCs/>
                <w:iCs/>
                <w:color w:val="auto"/>
                <w:sz w:val="24"/>
                <w:szCs w:val="24"/>
              </w:rPr>
            </w:pPr>
            <w:r>
              <w:rPr>
                <w:rFonts w:eastAsia="Calibri"/>
                <w:color w:val="auto"/>
                <w:sz w:val="24"/>
                <w:szCs w:val="24"/>
                <w:lang w:val="nl-NL"/>
              </w:rPr>
              <w:t xml:space="preserve">Cột số 4 nêu </w:t>
            </w:r>
            <w:r>
              <w:rPr>
                <w:iCs/>
                <w:color w:val="auto"/>
                <w:sz w:val="24"/>
                <w:szCs w:val="24"/>
              </w:rPr>
              <w:t>nội dung rà soát như sau</w:t>
            </w:r>
            <w:r>
              <w:rPr>
                <w:rFonts w:eastAsia="Calibri"/>
                <w:color w:val="auto"/>
                <w:sz w:val="24"/>
                <w:szCs w:val="24"/>
                <w:lang w:val="nl-NL"/>
              </w:rPr>
              <w:t xml:space="preserve">: Tại Điều 29 Nghị định số 268/2025/NĐ-CP quy định tiêu chí xác định trung tâm đổi mới sáng tạo, trong đó khoản 3 Điều 29 quy định cần có tiêu chí “Có hạ tầng kỹ thuật đáp ứng yêu cầu thực hiện đổi mới sáng tạo, hỗ trợ đổi mới sáng tạo và khởi nghiệp sáng tạo phù hợp với ngành, lĩnh vực, địa phương”. Tại khoản 1 Điều 30, khoản 1 Điều 31 Nghị định số 268/2025/NĐ-CP quy định Tiêu chí xác định trung tâm đổi mới sáng tạo cấp tỉnh và cấp quốc gia thì chỉ yêu cầu đáp ứng tiêu chí quy định tại khoản 1 và khoản 2 Điều 29, nghĩa là không yêu cầu đáp ứng tiêu chí về “hạ tầng kỹ thuật” như nêu tại khoản 3 Điều 29 Nghị định số 268/2025/NĐ-CP. Tại mục 4.4, 4.5 của Mẫu số IV.5.1.1 (Phiếu đánh giá thẩm định hồ sơ yêu cầu công nhận trung tâm đổi mới sáng tạo) lại nêu tiêu chí “Đáp ứng tiêu chí về hạ tầng kỹ thuật do bộ, cơ quan ngang bộ/UBND cấp tỉnh ban hành (nếu có)”, nghĩa là việc đáp ứng tiêu chí về hạ tầng kỹ thuật là không bắt buộc. Tại khoản 1 và 3 Điều 40 Nghị định số 268/2025/NĐ-CP lại quy định “Bộ, cơ quan ngang bộ/Ủy ban nhân dân cấp tỉnh xây dựng và ban hành tiêu chí về hạ tầng kỹ thuật của trung tâm đổi mới sáng tạo cấp tỉnh trong phạm vi quản lý”, nghĩa là tiêu chí về hạ tầng kỹ thuật là bắt buộc. </w:t>
            </w:r>
            <w:r>
              <w:rPr>
                <w:rFonts w:eastAsia="Calibri"/>
                <w:iCs/>
                <w:color w:val="auto"/>
                <w:sz w:val="24"/>
                <w:szCs w:val="24"/>
                <w:lang w:val="nl-NL"/>
              </w:rPr>
              <w:t>Như vậy, các yêu cầu về tiêu chí hạ tầng kỹ thuật tại Điều 29, 30, 31, 40 và Mẫu số V.5.1.1 Nghị định số 268/2025/NĐ-CP đang mâu thuẫn.</w:t>
            </w:r>
            <w:r>
              <w:rPr>
                <w:bCs/>
                <w:iCs/>
                <w:color w:val="auto"/>
                <w:sz w:val="24"/>
                <w:szCs w:val="24"/>
              </w:rPr>
              <w:t xml:space="preserve"> Như vậy, đối với nội dung rà soát này phải xác định tiêu chí rà soát là Tiêu chí 2 - Rà soát, đánh giá tính hợp hiến, hợp pháp, tính thống nhất của hệ thống pháp luật. </w:t>
            </w:r>
          </w:p>
          <w:p w14:paraId="503800BD">
            <w:pPr>
              <w:ind w:firstLine="284"/>
              <w:jc w:val="both"/>
              <w:rPr>
                <w:bCs/>
                <w:i/>
                <w:color w:val="auto"/>
                <w:sz w:val="24"/>
                <w:szCs w:val="24"/>
              </w:rPr>
            </w:pPr>
            <w:r>
              <w:rPr>
                <w:bCs/>
                <w:iCs/>
                <w:color w:val="auto"/>
                <w:sz w:val="24"/>
                <w:szCs w:val="24"/>
              </w:rPr>
              <w:t>Trong khi đó, cột số 7 xác định tiêu chí rà soát là Tiêu chí 5 - Rà soát, phát hiện quy định pháp luật không rõ ràng, có nhiều cách hiểu khác nhau, không hợp lý, không phù hợp thực tiễn, không khả thi, gây khó khăn, vướng mắc, tạo “điểm nghẽn” trong áp dụng, thực hiện pháp luật, cản trở quá trình phát triển là chưa thống nhất giữa nội dung và tiêu chí rà soát.</w:t>
            </w:r>
            <w:r>
              <w:rPr>
                <w:bCs/>
                <w:i/>
                <w:color w:val="auto"/>
                <w:sz w:val="24"/>
                <w:szCs w:val="24"/>
              </w:rPr>
              <w:t xml:space="preserve"> </w:t>
            </w:r>
          </w:p>
        </w:tc>
      </w:tr>
      <w:tr w14:paraId="6BF93C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40" w:hRule="atLeast"/>
          <w:jc w:val="center"/>
        </w:trPr>
        <w:tc>
          <w:tcPr>
            <w:tcW w:w="704" w:type="dxa"/>
            <w:vMerge w:val="continue"/>
          </w:tcPr>
          <w:p w14:paraId="7E44A8C9">
            <w:pPr>
              <w:widowControl w:val="0"/>
              <w:spacing w:line="276" w:lineRule="auto"/>
              <w:rPr>
                <w:color w:val="auto"/>
                <w:sz w:val="24"/>
                <w:szCs w:val="24"/>
              </w:rPr>
            </w:pPr>
          </w:p>
        </w:tc>
        <w:tc>
          <w:tcPr>
            <w:tcW w:w="1843" w:type="dxa"/>
            <w:vMerge w:val="continue"/>
          </w:tcPr>
          <w:p w14:paraId="12F79EE6">
            <w:pPr>
              <w:widowControl w:val="0"/>
              <w:spacing w:line="276" w:lineRule="auto"/>
              <w:rPr>
                <w:color w:val="auto"/>
                <w:sz w:val="24"/>
                <w:szCs w:val="24"/>
              </w:rPr>
            </w:pPr>
          </w:p>
        </w:tc>
        <w:tc>
          <w:tcPr>
            <w:tcW w:w="1417" w:type="dxa"/>
            <w:vMerge w:val="continue"/>
          </w:tcPr>
          <w:p w14:paraId="2A33DC80">
            <w:pPr>
              <w:widowControl w:val="0"/>
              <w:spacing w:line="276" w:lineRule="auto"/>
              <w:rPr>
                <w:color w:val="auto"/>
                <w:sz w:val="24"/>
                <w:szCs w:val="24"/>
              </w:rPr>
            </w:pPr>
          </w:p>
        </w:tc>
        <w:tc>
          <w:tcPr>
            <w:tcW w:w="4051" w:type="dxa"/>
          </w:tcPr>
          <w:p w14:paraId="0DD5074B">
            <w:pPr>
              <w:spacing w:after="120"/>
              <w:jc w:val="both"/>
              <w:rPr>
                <w:color w:val="auto"/>
                <w:sz w:val="24"/>
                <w:szCs w:val="24"/>
              </w:rPr>
            </w:pPr>
            <w:r>
              <w:rPr>
                <w:color w:val="auto"/>
                <w:sz w:val="24"/>
                <w:szCs w:val="24"/>
              </w:rPr>
              <w:t>Tại Mẫu số I.12 (Biên bản họp Hội đồng xét duyệt nhiệm vụ ĐMST), Phụ lục I ban hành kèm theo Nghị định số 268/2025/NĐ-CP có quy định Hội đồng xét duyệt phải biểu quyết thông qua nội dung “Hồ sơ thanh toán” đang gây khó khăn cho Hội đồng thực hiện chức năng nhiệm vụ và quá trình quản lý của cơ quan quản lý nhiệm vụ. Do việc quy định hồ sơ thanh toán theo Luật Ngân sách Nhà nước, Luật Kế toán và các văn bản hướng dẫn luật, đồng thời theo từng tính chất, nội dung, thực tế quá trình triển khai.</w:t>
            </w:r>
          </w:p>
          <w:p w14:paraId="45311BB2">
            <w:pPr>
              <w:spacing w:after="120"/>
              <w:jc w:val="both"/>
              <w:rPr>
                <w:color w:val="auto"/>
                <w:sz w:val="24"/>
                <w:szCs w:val="24"/>
              </w:rPr>
            </w:pPr>
            <w:r>
              <w:rPr>
                <w:color w:val="auto"/>
                <w:sz w:val="24"/>
                <w:szCs w:val="24"/>
              </w:rPr>
              <w:t>Do đó cần nghiên cứu, điều chỉnh theo hướng bỏ quy định Hội đồng xét duyệt biểu quyết thông qua đối với hồ sơ thanh toán trong các Mẫu số I.12 Phụ lục I ban hành kèm theo Nghị định số 268/2025/NĐ-CP.</w:t>
            </w:r>
          </w:p>
        </w:tc>
        <w:tc>
          <w:tcPr>
            <w:tcW w:w="1394" w:type="dxa"/>
            <w:vMerge w:val="continue"/>
          </w:tcPr>
          <w:p w14:paraId="7CA3EE17">
            <w:pPr>
              <w:widowControl w:val="0"/>
              <w:spacing w:line="276" w:lineRule="auto"/>
              <w:rPr>
                <w:color w:val="auto"/>
                <w:sz w:val="24"/>
                <w:szCs w:val="24"/>
              </w:rPr>
            </w:pPr>
          </w:p>
        </w:tc>
        <w:tc>
          <w:tcPr>
            <w:tcW w:w="1275" w:type="dxa"/>
            <w:vMerge w:val="continue"/>
          </w:tcPr>
          <w:p w14:paraId="2A7E89C6">
            <w:pPr>
              <w:widowControl w:val="0"/>
              <w:spacing w:line="276" w:lineRule="auto"/>
              <w:rPr>
                <w:color w:val="auto"/>
                <w:sz w:val="24"/>
                <w:szCs w:val="24"/>
              </w:rPr>
            </w:pPr>
          </w:p>
        </w:tc>
        <w:tc>
          <w:tcPr>
            <w:tcW w:w="1245" w:type="dxa"/>
            <w:tcBorders>
              <w:top w:val="single" w:color="auto" w:sz="4" w:space="0"/>
              <w:bottom w:val="single" w:color="auto" w:sz="4" w:space="0"/>
            </w:tcBorders>
          </w:tcPr>
          <w:p w14:paraId="64855559">
            <w:pPr>
              <w:widowControl w:val="0"/>
              <w:spacing w:line="276" w:lineRule="auto"/>
              <w:rPr>
                <w:color w:val="auto"/>
                <w:sz w:val="24"/>
                <w:szCs w:val="24"/>
              </w:rPr>
            </w:pPr>
            <w:r>
              <w:rPr>
                <w:color w:val="auto"/>
                <w:sz w:val="24"/>
                <w:szCs w:val="24"/>
              </w:rPr>
              <w:t>Tiêu chí 5</w:t>
            </w:r>
          </w:p>
        </w:tc>
        <w:tc>
          <w:tcPr>
            <w:tcW w:w="1308" w:type="dxa"/>
            <w:tcBorders>
              <w:top w:val="single" w:color="auto" w:sz="4" w:space="0"/>
              <w:bottom w:val="single" w:color="auto" w:sz="4" w:space="0"/>
            </w:tcBorders>
          </w:tcPr>
          <w:p w14:paraId="04980C66">
            <w:pPr>
              <w:widowControl w:val="0"/>
              <w:spacing w:line="276" w:lineRule="auto"/>
              <w:jc w:val="center"/>
              <w:rPr>
                <w:color w:val="auto"/>
                <w:sz w:val="24"/>
                <w:szCs w:val="24"/>
              </w:rPr>
            </w:pPr>
            <w:r>
              <w:rPr>
                <w:color w:val="auto"/>
                <w:sz w:val="24"/>
                <w:szCs w:val="24"/>
              </w:rPr>
              <w:t>Đã cập nhật theo ý kiến thẩm định</w:t>
            </w:r>
          </w:p>
        </w:tc>
        <w:tc>
          <w:tcPr>
            <w:tcW w:w="2410" w:type="dxa"/>
            <w:tcBorders>
              <w:top w:val="single" w:color="auto" w:sz="4" w:space="0"/>
              <w:bottom w:val="single" w:color="auto" w:sz="4" w:space="0"/>
            </w:tcBorders>
          </w:tcPr>
          <w:p w14:paraId="7CD6D8E6">
            <w:pPr>
              <w:widowControl w:val="0"/>
              <w:spacing w:line="276" w:lineRule="auto"/>
              <w:ind w:firstLine="284"/>
              <w:jc w:val="both"/>
              <w:rPr>
                <w:color w:val="auto"/>
                <w:sz w:val="24"/>
                <w:szCs w:val="24"/>
              </w:rPr>
            </w:pPr>
            <w:r>
              <w:rPr>
                <w:color w:val="auto"/>
                <w:sz w:val="24"/>
                <w:szCs w:val="24"/>
              </w:rPr>
              <w:t>Cần làm rõ, hoàn thiện thêm để xác định chính xác Tiêu chí rà soát, đề nghị cân nhắc xếp vào Tiêu chí 5.</w:t>
            </w:r>
          </w:p>
          <w:p w14:paraId="53D40319">
            <w:pPr>
              <w:widowControl w:val="0"/>
              <w:spacing w:line="276" w:lineRule="auto"/>
              <w:ind w:firstLine="284"/>
              <w:jc w:val="both"/>
              <w:rPr>
                <w:color w:val="auto"/>
                <w:sz w:val="24"/>
                <w:szCs w:val="24"/>
              </w:rPr>
            </w:pPr>
          </w:p>
        </w:tc>
      </w:tr>
      <w:tr w14:paraId="6F8419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5" w:hRule="atLeast"/>
          <w:jc w:val="center"/>
        </w:trPr>
        <w:tc>
          <w:tcPr>
            <w:tcW w:w="704" w:type="dxa"/>
            <w:vMerge w:val="continue"/>
          </w:tcPr>
          <w:p w14:paraId="271AC7B8">
            <w:pPr>
              <w:widowControl w:val="0"/>
              <w:spacing w:line="276" w:lineRule="auto"/>
              <w:rPr>
                <w:color w:val="auto"/>
                <w:sz w:val="24"/>
                <w:szCs w:val="24"/>
              </w:rPr>
            </w:pPr>
          </w:p>
        </w:tc>
        <w:tc>
          <w:tcPr>
            <w:tcW w:w="1843" w:type="dxa"/>
            <w:vMerge w:val="continue"/>
          </w:tcPr>
          <w:p w14:paraId="290224D1">
            <w:pPr>
              <w:widowControl w:val="0"/>
              <w:spacing w:line="276" w:lineRule="auto"/>
              <w:rPr>
                <w:color w:val="auto"/>
                <w:sz w:val="24"/>
                <w:szCs w:val="24"/>
              </w:rPr>
            </w:pPr>
          </w:p>
        </w:tc>
        <w:tc>
          <w:tcPr>
            <w:tcW w:w="1417" w:type="dxa"/>
            <w:vMerge w:val="continue"/>
          </w:tcPr>
          <w:p w14:paraId="0ECAFD8B">
            <w:pPr>
              <w:widowControl w:val="0"/>
              <w:spacing w:line="276" w:lineRule="auto"/>
              <w:rPr>
                <w:color w:val="auto"/>
                <w:sz w:val="24"/>
                <w:szCs w:val="24"/>
              </w:rPr>
            </w:pPr>
          </w:p>
        </w:tc>
        <w:tc>
          <w:tcPr>
            <w:tcW w:w="4051" w:type="dxa"/>
          </w:tcPr>
          <w:p w14:paraId="3E1D6C5B">
            <w:pPr>
              <w:spacing w:after="120"/>
              <w:jc w:val="both"/>
              <w:rPr>
                <w:color w:val="auto"/>
                <w:sz w:val="24"/>
                <w:szCs w:val="24"/>
              </w:rPr>
            </w:pPr>
            <w:r>
              <w:rPr>
                <w:color w:val="auto"/>
                <w:sz w:val="24"/>
                <w:szCs w:val="24"/>
              </w:rPr>
              <w:t>Tại điểm d khoản 1 Điều 42 và điểm d khoản 1 Điều 43 quy định thành phần hồ sơ bao gồm “Văn bản xác nhận của cơ quan chủ quản đối với các nội dung đã trình bày trong thuyết minh trong trường hợp tổ chức thuộc quyền quản lý của bộ, cơ quan ngang bộ, cơ quan thuộc Chính phủ, cơ quan khác ở trung ương, Ủy ban nhân dân cấp tỉnh; văn bản xác nhận của Ủy ban nhân dân cấp tỉnh hoặc cơ quan được Ủy ban nhân dân cấp tỉnh phân cấp, nơi tổ chức có trụ sở chính đối với các nội dung đã trình bày trong thuyết minh trong trường hợp tổ chức không thuộc quyền quản lý của bộ, cơ quan ngang bộ, cơ quan thuộc Chính phủ, cơ quan khác ở trung ương, Ủy ban nhân dân cấp tỉnh”.</w:t>
            </w:r>
          </w:p>
          <w:p w14:paraId="08F2965E">
            <w:pPr>
              <w:spacing w:after="120"/>
              <w:jc w:val="both"/>
              <w:rPr>
                <w:color w:val="auto"/>
                <w:sz w:val="24"/>
                <w:szCs w:val="24"/>
              </w:rPr>
            </w:pPr>
            <w:r>
              <w:rPr>
                <w:color w:val="auto"/>
                <w:sz w:val="24"/>
                <w:szCs w:val="24"/>
              </w:rPr>
              <w:t>Việc yêu cầu tổ chức, cá nhân, doanh nghiệp nộp Văn bản xác nhận khi nộp hồ sơ đề nghị công nhận Trung tâm đổi mới sáng tạo, Trung tâm đổi mới sáng tạo cấp tỉnh, Trung tâm hỗ trợ khởi nghiệp sáng tạo, Trung tâm hỗ trợ khởi nghiệp sáng tạo cấp tỉnh, cá nhân, nhóm cá nhân, doanh nghiệp khởi nghiệp sáng tạo, chuyên gia hỗ trợ khởi nghiệp sáng tạo, nhà đầu tư cá nhân khởi nghiệp sáng tạo là chưa phù hợp, gây khó khăn cho tổ chức, cá nhân, doanh nghiệp khi nộp hồ sơ bởi vì thẩm quyền cơ quan cấp Văn bản xác nhận (để tổ chức, cá nhân, doanh nghiệp nộp hồ sơ đề nghị công nhận) cũng chính là cơ quan có thẩm quyền xét duyệt hồ sơ đề nghị công nhận và cấp Giấy công nhận.</w:t>
            </w:r>
          </w:p>
          <w:p w14:paraId="26E3D572">
            <w:pPr>
              <w:spacing w:after="120"/>
              <w:jc w:val="both"/>
              <w:rPr>
                <w:color w:val="auto"/>
                <w:sz w:val="24"/>
                <w:szCs w:val="24"/>
              </w:rPr>
            </w:pPr>
            <w:r>
              <w:rPr>
                <w:color w:val="auto"/>
                <w:sz w:val="24"/>
                <w:szCs w:val="24"/>
              </w:rPr>
              <w:t>Thành phần hồ sơ này chỉ nên yêu cầu khi tổ chức, doanh nghiệp nộp hồ sơ đề nghị công nhận Trung tâm đổi mới sáng tạo cấp quốc gia, Trung tâm hỗ trợ khởi nghiệp sáng tạo cấp quốc gia (như quy định tại điểm d khoản 1 Điều 42), không nên yêu cầu khi tổ chức, doanh nghiệp nộp hồ sơ đề nghị công nhận đối với các trường hợp nêu tại Điều 43.</w:t>
            </w:r>
          </w:p>
        </w:tc>
        <w:tc>
          <w:tcPr>
            <w:tcW w:w="1394" w:type="dxa"/>
            <w:vMerge w:val="continue"/>
          </w:tcPr>
          <w:p w14:paraId="2DE12EAD">
            <w:pPr>
              <w:widowControl w:val="0"/>
              <w:spacing w:line="276" w:lineRule="auto"/>
              <w:rPr>
                <w:color w:val="auto"/>
                <w:sz w:val="24"/>
                <w:szCs w:val="24"/>
              </w:rPr>
            </w:pPr>
          </w:p>
        </w:tc>
        <w:tc>
          <w:tcPr>
            <w:tcW w:w="1275" w:type="dxa"/>
            <w:vMerge w:val="continue"/>
          </w:tcPr>
          <w:p w14:paraId="29392827">
            <w:pPr>
              <w:widowControl w:val="0"/>
              <w:spacing w:line="276" w:lineRule="auto"/>
              <w:rPr>
                <w:color w:val="auto"/>
                <w:sz w:val="24"/>
                <w:szCs w:val="24"/>
              </w:rPr>
            </w:pPr>
          </w:p>
        </w:tc>
        <w:tc>
          <w:tcPr>
            <w:tcW w:w="1245" w:type="dxa"/>
            <w:tcBorders>
              <w:top w:val="single" w:color="auto" w:sz="4" w:space="0"/>
              <w:bottom w:val="single" w:color="auto" w:sz="4" w:space="0"/>
            </w:tcBorders>
          </w:tcPr>
          <w:p w14:paraId="468F3B52">
            <w:pPr>
              <w:widowControl w:val="0"/>
              <w:spacing w:line="276" w:lineRule="auto"/>
              <w:rPr>
                <w:color w:val="auto"/>
                <w:sz w:val="24"/>
                <w:szCs w:val="24"/>
              </w:rPr>
            </w:pPr>
            <w:r>
              <w:rPr>
                <w:color w:val="auto"/>
                <w:sz w:val="24"/>
                <w:szCs w:val="24"/>
              </w:rPr>
              <w:t>Tiêu chí 4</w:t>
            </w:r>
          </w:p>
        </w:tc>
        <w:tc>
          <w:tcPr>
            <w:tcW w:w="1308" w:type="dxa"/>
            <w:tcBorders>
              <w:top w:val="single" w:color="auto" w:sz="4" w:space="0"/>
              <w:bottom w:val="single" w:color="auto" w:sz="4" w:space="0"/>
            </w:tcBorders>
          </w:tcPr>
          <w:p w14:paraId="5A197EC9">
            <w:pPr>
              <w:widowControl w:val="0"/>
              <w:spacing w:line="276" w:lineRule="auto"/>
              <w:jc w:val="center"/>
              <w:rPr>
                <w:color w:val="auto"/>
                <w:sz w:val="24"/>
                <w:szCs w:val="24"/>
              </w:rPr>
            </w:pPr>
            <w:r>
              <w:rPr>
                <w:color w:val="auto"/>
                <w:sz w:val="24"/>
                <w:szCs w:val="24"/>
              </w:rPr>
              <w:t>Đã cập nhật theo ý kiến thẩm định</w:t>
            </w:r>
          </w:p>
        </w:tc>
        <w:tc>
          <w:tcPr>
            <w:tcW w:w="2410" w:type="dxa"/>
            <w:tcBorders>
              <w:top w:val="single" w:color="auto" w:sz="4" w:space="0"/>
              <w:bottom w:val="single" w:color="auto" w:sz="4" w:space="0"/>
            </w:tcBorders>
          </w:tcPr>
          <w:p w14:paraId="58247B98">
            <w:pPr>
              <w:widowControl w:val="0"/>
              <w:spacing w:line="276" w:lineRule="auto"/>
              <w:ind w:firstLine="284"/>
              <w:jc w:val="both"/>
              <w:rPr>
                <w:color w:val="auto"/>
                <w:sz w:val="24"/>
                <w:szCs w:val="24"/>
              </w:rPr>
            </w:pPr>
            <w:r>
              <w:rPr>
                <w:color w:val="auto"/>
                <w:sz w:val="24"/>
                <w:szCs w:val="24"/>
              </w:rPr>
              <w:t>Cần làm rõ, hoàn thiện thêm để xác định chính xác Tiêu chí rà soát, đề nghị cân nhắc xếp vào Tiêu chí 4.</w:t>
            </w:r>
          </w:p>
        </w:tc>
      </w:tr>
      <w:tr w14:paraId="143951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39" w:hRule="atLeast"/>
          <w:jc w:val="center"/>
        </w:trPr>
        <w:tc>
          <w:tcPr>
            <w:tcW w:w="704" w:type="dxa"/>
            <w:vMerge w:val="continue"/>
          </w:tcPr>
          <w:p w14:paraId="37DBFFBB">
            <w:pPr>
              <w:widowControl w:val="0"/>
              <w:spacing w:line="276" w:lineRule="auto"/>
              <w:rPr>
                <w:color w:val="auto"/>
                <w:sz w:val="24"/>
                <w:szCs w:val="24"/>
              </w:rPr>
            </w:pPr>
          </w:p>
        </w:tc>
        <w:tc>
          <w:tcPr>
            <w:tcW w:w="1843" w:type="dxa"/>
            <w:vMerge w:val="continue"/>
          </w:tcPr>
          <w:p w14:paraId="3D31BE05">
            <w:pPr>
              <w:widowControl w:val="0"/>
              <w:spacing w:line="276" w:lineRule="auto"/>
              <w:rPr>
                <w:color w:val="auto"/>
                <w:sz w:val="24"/>
                <w:szCs w:val="24"/>
              </w:rPr>
            </w:pPr>
          </w:p>
        </w:tc>
        <w:tc>
          <w:tcPr>
            <w:tcW w:w="1417" w:type="dxa"/>
            <w:vMerge w:val="continue"/>
          </w:tcPr>
          <w:p w14:paraId="1B47039D">
            <w:pPr>
              <w:widowControl w:val="0"/>
              <w:spacing w:line="276" w:lineRule="auto"/>
              <w:rPr>
                <w:color w:val="auto"/>
                <w:sz w:val="24"/>
                <w:szCs w:val="24"/>
              </w:rPr>
            </w:pPr>
          </w:p>
        </w:tc>
        <w:tc>
          <w:tcPr>
            <w:tcW w:w="4051" w:type="dxa"/>
          </w:tcPr>
          <w:p w14:paraId="0335579F">
            <w:pPr>
              <w:spacing w:after="120"/>
              <w:jc w:val="both"/>
              <w:rPr>
                <w:color w:val="auto"/>
                <w:sz w:val="24"/>
                <w:szCs w:val="24"/>
              </w:rPr>
            </w:pPr>
            <w:r>
              <w:rPr>
                <w:color w:val="auto"/>
                <w:sz w:val="24"/>
                <w:szCs w:val="24"/>
              </w:rPr>
              <w:t xml:space="preserve">Tại điểm d khoản 1 Điều 43 Nghị định số 268/2025/NĐ-CP  quy định thành phần hồ sơ đề nghị công nhận Trung tâm hỗ trợ khởi nghiệp sáng tạo cấp tỉnh, cá nhân, nhóm cá nhân, doanh nghiệp khởi nghiệp sáng tạo phải bao gồm “Văn bản xác nhận của cơ quan chủ quản đối với các nội dung đã trình bày trong thuyết minh trong trường hợp tổ chức thuộc quyền quản lý của bộ, cơ quan ngang bộ, cơ quan thuộc Chính phủ, cơ quan khác ở trung ương, Ủy ban nhân dân cấp tỉnh; văn bản xác nhận của Ủy ban nhân dân cấp tỉnh hoặc cơ quan được Ủy ban nhân dân cấp tỉnh phân cấp, nơi tổ chức có trụ sở chính đối với các nội dung đã trình bày trong thuyết minh trong trường hợp tổ chức không thuộc quyền quản lý của bộ, cơ quan ngang bộ, cơ quan thuộc Chính phủ, cơ quan khác ở trung ương, Ủy ban nhân dân cấp tỉnh”. </w:t>
            </w:r>
          </w:p>
          <w:p w14:paraId="2BA66CF6">
            <w:pPr>
              <w:spacing w:after="120"/>
              <w:jc w:val="both"/>
              <w:rPr>
                <w:color w:val="auto"/>
                <w:sz w:val="24"/>
                <w:szCs w:val="24"/>
              </w:rPr>
            </w:pPr>
            <w:r>
              <w:rPr>
                <w:color w:val="auto"/>
                <w:sz w:val="24"/>
                <w:szCs w:val="24"/>
              </w:rPr>
              <w:t>(Hồ sơ phải bao gồm: Văn bản yêu cầu công nhận (có mẫu), Thuyết minh (có mẫu), Xác nhận thuyết minh (không có mẫu)</w:t>
            </w:r>
          </w:p>
          <w:p w14:paraId="5CD3DD6B">
            <w:pPr>
              <w:spacing w:after="120"/>
              <w:jc w:val="both"/>
              <w:rPr>
                <w:color w:val="auto"/>
                <w:sz w:val="24"/>
                <w:szCs w:val="24"/>
              </w:rPr>
            </w:pPr>
            <w:r>
              <w:rPr>
                <w:color w:val="auto"/>
                <w:sz w:val="24"/>
                <w:szCs w:val="24"/>
              </w:rPr>
              <w:t>Tuy nhiên, tại mục 7.1 biểu mẫu số IV.3.3.2 - Phiếu đánh giá của Hội đồng tư vấn thẩm định hồ sơ yêu cầu công nhận cá nhân, nhóm cá nhân, doanh nghiệp khởi nghiệp sáng tạo yêu cầu thành viên Hội đồng phải có ý kiến về tính đầy đủ của hồ sơ thì không thấy yêu cầu về Văn bản xác nhận của cơ quan có thẩm quyền.</w:t>
            </w:r>
          </w:p>
          <w:p w14:paraId="0995F0C4">
            <w:pPr>
              <w:spacing w:after="120"/>
              <w:jc w:val="both"/>
              <w:rPr>
                <w:color w:val="auto"/>
                <w:sz w:val="24"/>
                <w:szCs w:val="24"/>
              </w:rPr>
            </w:pPr>
            <w:r>
              <w:rPr>
                <w:color w:val="auto"/>
                <w:sz w:val="24"/>
                <w:szCs w:val="24"/>
              </w:rPr>
              <w:t>Như vậy có sự mâu thuẫn giữa điểm d khoản 1 Điều 43 và biểu mẫu số IV.5.3.1.</w:t>
            </w:r>
          </w:p>
        </w:tc>
        <w:tc>
          <w:tcPr>
            <w:tcW w:w="1394" w:type="dxa"/>
            <w:vMerge w:val="continue"/>
          </w:tcPr>
          <w:p w14:paraId="02312B93">
            <w:pPr>
              <w:widowControl w:val="0"/>
              <w:spacing w:line="276" w:lineRule="auto"/>
              <w:rPr>
                <w:color w:val="auto"/>
                <w:sz w:val="24"/>
                <w:szCs w:val="24"/>
              </w:rPr>
            </w:pPr>
          </w:p>
        </w:tc>
        <w:tc>
          <w:tcPr>
            <w:tcW w:w="1275" w:type="dxa"/>
            <w:vMerge w:val="continue"/>
          </w:tcPr>
          <w:p w14:paraId="13B694B8">
            <w:pPr>
              <w:widowControl w:val="0"/>
              <w:spacing w:line="276" w:lineRule="auto"/>
              <w:rPr>
                <w:color w:val="auto"/>
                <w:sz w:val="24"/>
                <w:szCs w:val="24"/>
              </w:rPr>
            </w:pPr>
          </w:p>
        </w:tc>
        <w:tc>
          <w:tcPr>
            <w:tcW w:w="1245" w:type="dxa"/>
            <w:tcBorders>
              <w:top w:val="single" w:color="auto" w:sz="4" w:space="0"/>
              <w:bottom w:val="single" w:color="auto" w:sz="4" w:space="0"/>
            </w:tcBorders>
          </w:tcPr>
          <w:p w14:paraId="32B82965">
            <w:pPr>
              <w:widowControl w:val="0"/>
              <w:spacing w:line="276" w:lineRule="auto"/>
              <w:rPr>
                <w:color w:val="auto"/>
                <w:sz w:val="24"/>
                <w:szCs w:val="24"/>
              </w:rPr>
            </w:pPr>
            <w:r>
              <w:rPr>
                <w:color w:val="auto"/>
                <w:sz w:val="24"/>
                <w:szCs w:val="24"/>
              </w:rPr>
              <w:t xml:space="preserve">Tiêu chí </w:t>
            </w:r>
            <w:r>
              <w:rPr>
                <w:rFonts w:hint="default"/>
                <w:color w:val="auto"/>
                <w:sz w:val="24"/>
                <w:szCs w:val="24"/>
                <w:lang w:val="en-US"/>
              </w:rPr>
              <w:t>2</w:t>
            </w:r>
          </w:p>
        </w:tc>
        <w:tc>
          <w:tcPr>
            <w:tcW w:w="1308" w:type="dxa"/>
            <w:tcBorders>
              <w:top w:val="single" w:color="auto" w:sz="4" w:space="0"/>
              <w:bottom w:val="single" w:color="auto" w:sz="4" w:space="0"/>
            </w:tcBorders>
          </w:tcPr>
          <w:p w14:paraId="3C118B51">
            <w:pPr>
              <w:widowControl w:val="0"/>
              <w:spacing w:line="276" w:lineRule="auto"/>
              <w:jc w:val="center"/>
              <w:rPr>
                <w:color w:val="auto"/>
                <w:sz w:val="24"/>
                <w:szCs w:val="24"/>
              </w:rPr>
            </w:pPr>
            <w:r>
              <w:rPr>
                <w:color w:val="auto"/>
                <w:sz w:val="24"/>
                <w:szCs w:val="24"/>
              </w:rPr>
              <w:t>Đã cập nhật theo ý kiến thẩm định</w:t>
            </w:r>
          </w:p>
        </w:tc>
        <w:tc>
          <w:tcPr>
            <w:tcW w:w="2410" w:type="dxa"/>
            <w:tcBorders>
              <w:top w:val="single" w:color="auto" w:sz="4" w:space="0"/>
              <w:bottom w:val="single" w:color="auto" w:sz="4" w:space="0"/>
            </w:tcBorders>
          </w:tcPr>
          <w:p w14:paraId="06D44491">
            <w:pPr>
              <w:widowControl w:val="0"/>
              <w:spacing w:line="276" w:lineRule="auto"/>
              <w:ind w:firstLine="284"/>
              <w:jc w:val="both"/>
              <w:rPr>
                <w:color w:val="auto"/>
                <w:sz w:val="24"/>
                <w:szCs w:val="24"/>
              </w:rPr>
            </w:pPr>
            <w:r>
              <w:rPr>
                <w:color w:val="auto"/>
                <w:sz w:val="24"/>
                <w:szCs w:val="24"/>
              </w:rPr>
              <w:t>Cần làm rõ, hoàn thiện thêm để xác định chính xác Tiêu chí rà soát, đề nghị cân nhắc xếp vào Tiêu chí 2.</w:t>
            </w:r>
          </w:p>
        </w:tc>
      </w:tr>
      <w:tr w14:paraId="4061A8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39" w:hRule="atLeast"/>
          <w:jc w:val="center"/>
        </w:trPr>
        <w:tc>
          <w:tcPr>
            <w:tcW w:w="704" w:type="dxa"/>
            <w:vMerge w:val="continue"/>
          </w:tcPr>
          <w:p w14:paraId="58DF7C11">
            <w:pPr>
              <w:widowControl w:val="0"/>
              <w:spacing w:line="276" w:lineRule="auto"/>
              <w:rPr>
                <w:color w:val="auto"/>
                <w:sz w:val="24"/>
                <w:szCs w:val="24"/>
              </w:rPr>
            </w:pPr>
          </w:p>
        </w:tc>
        <w:tc>
          <w:tcPr>
            <w:tcW w:w="1843" w:type="dxa"/>
            <w:vMerge w:val="continue"/>
          </w:tcPr>
          <w:p w14:paraId="2CF6BC7C">
            <w:pPr>
              <w:widowControl w:val="0"/>
              <w:spacing w:line="276" w:lineRule="auto"/>
              <w:rPr>
                <w:color w:val="auto"/>
                <w:sz w:val="24"/>
                <w:szCs w:val="24"/>
              </w:rPr>
            </w:pPr>
          </w:p>
        </w:tc>
        <w:tc>
          <w:tcPr>
            <w:tcW w:w="1417" w:type="dxa"/>
            <w:vMerge w:val="continue"/>
          </w:tcPr>
          <w:p w14:paraId="0078F7DD">
            <w:pPr>
              <w:widowControl w:val="0"/>
              <w:spacing w:line="276" w:lineRule="auto"/>
              <w:rPr>
                <w:color w:val="auto"/>
                <w:sz w:val="24"/>
                <w:szCs w:val="24"/>
              </w:rPr>
            </w:pPr>
          </w:p>
        </w:tc>
        <w:tc>
          <w:tcPr>
            <w:tcW w:w="4051" w:type="dxa"/>
          </w:tcPr>
          <w:p w14:paraId="779D4AA1">
            <w:pPr>
              <w:jc w:val="both"/>
              <w:rPr>
                <w:color w:val="auto"/>
                <w:sz w:val="24"/>
                <w:szCs w:val="24"/>
              </w:rPr>
            </w:pPr>
            <w:r>
              <w:rPr>
                <w:color w:val="auto"/>
                <w:sz w:val="24"/>
                <w:szCs w:val="24"/>
              </w:rPr>
              <w:t>1.1. Việc xét công nhận DNKNST được xét theo dự án KNST đã được trình bày trong thuyết minh, tuy nhiên tại biểu mẫu Giấy công nhận DNKNST (mẫu số IV.3.4) chỉ ghi tên doanh nghiệp, mã số thuế/giấy chứng nhận đăng ký doanh nghiệp và trụ sở chính, không ghi thông tin về tên dự án KNST (như mẫu số IV.3.3 đối với trường hợp công nhận cá nhân, nhóm cá nhân).</w:t>
            </w:r>
          </w:p>
          <w:p w14:paraId="125351E7">
            <w:pPr>
              <w:jc w:val="both"/>
              <w:rPr>
                <w:color w:val="auto"/>
                <w:sz w:val="24"/>
                <w:szCs w:val="24"/>
              </w:rPr>
            </w:pPr>
            <w:r>
              <w:rPr>
                <w:color w:val="auto"/>
                <w:sz w:val="24"/>
                <w:szCs w:val="24"/>
              </w:rPr>
              <w:t>Trong khi đó, theo quy định tại khoản 1 Điều 10 Nghị quyết số 198/2025/QH15 về một số cơ chế, chính sách đặc biệt phát triển kinh tế tư nhân, DNKNST được “…miễn thuế thu nhập doanh nghiệp trong thời hạn 02 năm và giảm 50% số thuế phải nộp trong 04 năm tiếp theo đối với thu nhập từ hoạt động khởi nghiệp đổi mới sáng tạo của doanh nghiệp khởi nghiệp sáng tạo…”.</w:t>
            </w:r>
          </w:p>
          <w:p w14:paraId="1630A24D">
            <w:pPr>
              <w:jc w:val="both"/>
              <w:rPr>
                <w:color w:val="auto"/>
                <w:sz w:val="24"/>
                <w:szCs w:val="24"/>
              </w:rPr>
            </w:pPr>
            <w:r>
              <w:rPr>
                <w:color w:val="auto"/>
                <w:sz w:val="24"/>
                <w:szCs w:val="24"/>
              </w:rPr>
              <w:t>Tuy nhiên, chưa có hướng dẫn cụ thể cơ sở xác định “hoạt động khởi nghiệp đổi mới sáng tạo” được miễn thuế. Trong trường hợp doanh nghiệp được miễn thuế từ các hoạt động từ dự án KNST, đề nghị xem xét bổ sung tên dự án khởi nghiệp sáng tạo vào mẫu Giấy công nhận doanh nghiệp khởi nghiệp sáng tạo để thuận lợi hơn cho doanh nghiệp khi làm việc với cơ quan thuế</w:t>
            </w:r>
          </w:p>
          <w:p w14:paraId="6C979AF6">
            <w:pPr>
              <w:widowControl w:val="0"/>
              <w:spacing w:before="120" w:after="120"/>
              <w:jc w:val="both"/>
              <w:rPr>
                <w:color w:val="auto"/>
                <w:sz w:val="24"/>
                <w:szCs w:val="24"/>
              </w:rPr>
            </w:pPr>
            <w:r>
              <w:rPr>
                <w:color w:val="auto"/>
                <w:sz w:val="24"/>
                <w:szCs w:val="24"/>
              </w:rPr>
              <w:t xml:space="preserve">1.2. Thủ tục công nhận cá nhân, nhóm cá nhân, doanh nghiệp KNST: </w:t>
            </w:r>
            <w:r>
              <w:rPr>
                <w:i/>
                <w:iCs/>
                <w:color w:val="auto"/>
                <w:sz w:val="24"/>
                <w:szCs w:val="24"/>
              </w:rPr>
              <w:t xml:space="preserve">Khả năng tăng trưởng doanh thu của doanh nghiệp hoặc từ việc triển khai dự án KNST đạt tối thiểu 20% trong 02 năm liên tiếp trên cơ sở phân tích các yếu tố thị phần, khả năng phát triển sản phẩm, dịch vụ của doanh nghiệp, triển khai dự án khởi nghiệp sáng tạo, khả năng cạnh tranh của doanh nghiệp </w:t>
            </w:r>
          </w:p>
          <w:p w14:paraId="2A421E72">
            <w:pPr>
              <w:spacing w:after="120"/>
              <w:jc w:val="both"/>
              <w:rPr>
                <w:color w:val="auto"/>
                <w:sz w:val="24"/>
                <w:szCs w:val="24"/>
              </w:rPr>
            </w:pPr>
            <w:r>
              <w:rPr>
                <w:color w:val="auto"/>
                <w:sz w:val="24"/>
                <w:szCs w:val="24"/>
              </w:rPr>
              <w:t>Tuy nhiên, chưa quy định phương pháp xác định, cách tính toán hoặc tiêu chí đánh giá cụ thể đối với các yếu tố nêu trên; đồng thời chưa quy định thành phần hồ sơ, tài liệu chứng minh để tổ chức, cá nhân làm căn cứ kê khai và cơ quan có thẩm quyền thực hiện thẩm định</w:t>
            </w:r>
          </w:p>
        </w:tc>
        <w:tc>
          <w:tcPr>
            <w:tcW w:w="1394" w:type="dxa"/>
            <w:vMerge w:val="continue"/>
          </w:tcPr>
          <w:p w14:paraId="409E8F0E">
            <w:pPr>
              <w:widowControl w:val="0"/>
              <w:spacing w:line="276" w:lineRule="auto"/>
              <w:rPr>
                <w:color w:val="auto"/>
                <w:sz w:val="24"/>
                <w:szCs w:val="24"/>
              </w:rPr>
            </w:pPr>
          </w:p>
        </w:tc>
        <w:tc>
          <w:tcPr>
            <w:tcW w:w="1275" w:type="dxa"/>
            <w:vMerge w:val="continue"/>
          </w:tcPr>
          <w:p w14:paraId="373916D8">
            <w:pPr>
              <w:widowControl w:val="0"/>
              <w:spacing w:line="276" w:lineRule="auto"/>
              <w:rPr>
                <w:color w:val="auto"/>
                <w:sz w:val="24"/>
                <w:szCs w:val="24"/>
              </w:rPr>
            </w:pPr>
          </w:p>
        </w:tc>
        <w:tc>
          <w:tcPr>
            <w:tcW w:w="1245" w:type="dxa"/>
            <w:vMerge w:val="restart"/>
            <w:tcBorders>
              <w:top w:val="single" w:color="auto" w:sz="4" w:space="0"/>
            </w:tcBorders>
          </w:tcPr>
          <w:p w14:paraId="1F20DFAC">
            <w:pPr>
              <w:widowControl w:val="0"/>
              <w:spacing w:line="276" w:lineRule="auto"/>
              <w:rPr>
                <w:rFonts w:hint="default"/>
                <w:color w:val="auto"/>
                <w:sz w:val="24"/>
                <w:szCs w:val="24"/>
                <w:lang w:val="en-US"/>
              </w:rPr>
            </w:pPr>
            <w:r>
              <w:rPr>
                <w:rFonts w:hint="default"/>
                <w:color w:val="auto"/>
                <w:sz w:val="24"/>
                <w:szCs w:val="24"/>
                <w:lang w:val="en-US"/>
              </w:rPr>
              <w:t>Tiêu chí 5</w:t>
            </w:r>
          </w:p>
        </w:tc>
        <w:tc>
          <w:tcPr>
            <w:tcW w:w="1308" w:type="dxa"/>
            <w:vMerge w:val="restart"/>
            <w:tcBorders>
              <w:top w:val="single" w:color="auto" w:sz="4" w:space="0"/>
            </w:tcBorders>
          </w:tcPr>
          <w:p w14:paraId="293ECA18">
            <w:pPr>
              <w:widowControl w:val="0"/>
              <w:spacing w:line="276" w:lineRule="auto"/>
              <w:jc w:val="center"/>
              <w:rPr>
                <w:color w:val="auto"/>
                <w:sz w:val="24"/>
                <w:szCs w:val="24"/>
              </w:rPr>
            </w:pPr>
            <w:r>
              <w:rPr>
                <w:color w:val="auto"/>
                <w:sz w:val="24"/>
                <w:szCs w:val="24"/>
              </w:rPr>
              <w:t>Đã cập nhật theo ý kiến thẩm định</w:t>
            </w:r>
          </w:p>
        </w:tc>
        <w:tc>
          <w:tcPr>
            <w:tcW w:w="2410" w:type="dxa"/>
            <w:vMerge w:val="restart"/>
            <w:tcBorders>
              <w:top w:val="single" w:color="auto" w:sz="4" w:space="0"/>
              <w:bottom w:val="single" w:color="auto" w:sz="4" w:space="0"/>
            </w:tcBorders>
          </w:tcPr>
          <w:p w14:paraId="19609BAB">
            <w:pPr>
              <w:widowControl w:val="0"/>
              <w:spacing w:line="276" w:lineRule="auto"/>
              <w:ind w:firstLine="284"/>
              <w:jc w:val="both"/>
              <w:rPr>
                <w:color w:val="auto"/>
                <w:sz w:val="24"/>
                <w:szCs w:val="24"/>
              </w:rPr>
            </w:pPr>
            <w:r>
              <w:rPr>
                <w:color w:val="auto"/>
                <w:sz w:val="24"/>
                <w:szCs w:val="24"/>
              </w:rPr>
              <w:t xml:space="preserve">Cần làm rõ, hoàn thiện thêm để xác định chính xác Tiêu chí rà soát, đề nghị cân nhắc xếp vào Tiêu chí 5. </w:t>
            </w:r>
          </w:p>
        </w:tc>
      </w:tr>
      <w:tr w14:paraId="422166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139" w:hRule="atLeast"/>
          <w:jc w:val="center"/>
        </w:trPr>
        <w:tc>
          <w:tcPr>
            <w:tcW w:w="704" w:type="dxa"/>
            <w:vMerge w:val="continue"/>
          </w:tcPr>
          <w:p w14:paraId="3400AC11">
            <w:pPr>
              <w:widowControl w:val="0"/>
              <w:spacing w:line="276" w:lineRule="auto"/>
              <w:rPr>
                <w:color w:val="auto"/>
                <w:sz w:val="24"/>
                <w:szCs w:val="24"/>
              </w:rPr>
            </w:pPr>
          </w:p>
        </w:tc>
        <w:tc>
          <w:tcPr>
            <w:tcW w:w="1843" w:type="dxa"/>
            <w:vMerge w:val="continue"/>
          </w:tcPr>
          <w:p w14:paraId="583F5009">
            <w:pPr>
              <w:widowControl w:val="0"/>
              <w:spacing w:line="276" w:lineRule="auto"/>
              <w:rPr>
                <w:color w:val="auto"/>
                <w:sz w:val="24"/>
                <w:szCs w:val="24"/>
              </w:rPr>
            </w:pPr>
          </w:p>
        </w:tc>
        <w:tc>
          <w:tcPr>
            <w:tcW w:w="1417" w:type="dxa"/>
            <w:vMerge w:val="continue"/>
          </w:tcPr>
          <w:p w14:paraId="29E57A87">
            <w:pPr>
              <w:widowControl w:val="0"/>
              <w:spacing w:line="276" w:lineRule="auto"/>
              <w:rPr>
                <w:color w:val="auto"/>
                <w:sz w:val="24"/>
                <w:szCs w:val="24"/>
              </w:rPr>
            </w:pPr>
          </w:p>
        </w:tc>
        <w:tc>
          <w:tcPr>
            <w:tcW w:w="4051" w:type="dxa"/>
          </w:tcPr>
          <w:p w14:paraId="4B34CCCA">
            <w:pPr>
              <w:spacing w:after="120"/>
              <w:jc w:val="both"/>
              <w:rPr>
                <w:color w:val="auto"/>
                <w:sz w:val="24"/>
                <w:szCs w:val="24"/>
              </w:rPr>
            </w:pPr>
            <w:r>
              <w:rPr>
                <w:color w:val="auto"/>
                <w:sz w:val="24"/>
                <w:szCs w:val="24"/>
              </w:rPr>
              <w:t>Thủ tục đăng ký và công nhận doanh nghiệp khởi nghiệp sáng tạo  chưa quy định cách tính toán,  biểu mẫu, yêu cầu thành phần hồ sơ để chứng minh đáp ứng tiêu chí khi thực hiện thủ tục hành chính</w:t>
            </w:r>
          </w:p>
        </w:tc>
        <w:tc>
          <w:tcPr>
            <w:tcW w:w="1394" w:type="dxa"/>
            <w:vMerge w:val="continue"/>
          </w:tcPr>
          <w:p w14:paraId="19165EC1">
            <w:pPr>
              <w:widowControl w:val="0"/>
              <w:spacing w:line="276" w:lineRule="auto"/>
              <w:rPr>
                <w:color w:val="auto"/>
                <w:sz w:val="24"/>
                <w:szCs w:val="24"/>
              </w:rPr>
            </w:pPr>
          </w:p>
        </w:tc>
        <w:tc>
          <w:tcPr>
            <w:tcW w:w="1275" w:type="dxa"/>
            <w:vMerge w:val="continue"/>
          </w:tcPr>
          <w:p w14:paraId="61490956">
            <w:pPr>
              <w:widowControl w:val="0"/>
              <w:spacing w:line="276" w:lineRule="auto"/>
              <w:rPr>
                <w:color w:val="auto"/>
                <w:sz w:val="24"/>
                <w:szCs w:val="24"/>
              </w:rPr>
            </w:pPr>
          </w:p>
        </w:tc>
        <w:tc>
          <w:tcPr>
            <w:tcW w:w="1245" w:type="dxa"/>
            <w:vMerge w:val="continue"/>
            <w:tcBorders>
              <w:top w:val="single" w:color="auto" w:sz="4" w:space="0"/>
              <w:bottom w:val="single" w:color="auto" w:sz="4" w:space="0"/>
            </w:tcBorders>
          </w:tcPr>
          <w:p w14:paraId="6E5A5090">
            <w:pPr>
              <w:widowControl w:val="0"/>
              <w:spacing w:line="276" w:lineRule="auto"/>
              <w:rPr>
                <w:color w:val="auto"/>
                <w:sz w:val="24"/>
                <w:szCs w:val="24"/>
              </w:rPr>
            </w:pPr>
          </w:p>
        </w:tc>
        <w:tc>
          <w:tcPr>
            <w:tcW w:w="1308" w:type="dxa"/>
            <w:vMerge w:val="continue"/>
            <w:tcBorders>
              <w:top w:val="single" w:color="auto" w:sz="4" w:space="0"/>
              <w:bottom w:val="single" w:color="auto" w:sz="4" w:space="0"/>
            </w:tcBorders>
          </w:tcPr>
          <w:p w14:paraId="12D96FC3">
            <w:pPr>
              <w:widowControl w:val="0"/>
              <w:spacing w:line="276" w:lineRule="auto"/>
              <w:rPr>
                <w:color w:val="auto"/>
                <w:sz w:val="24"/>
                <w:szCs w:val="24"/>
              </w:rPr>
            </w:pPr>
          </w:p>
        </w:tc>
        <w:tc>
          <w:tcPr>
            <w:tcW w:w="2410" w:type="dxa"/>
            <w:vMerge w:val="continue"/>
            <w:tcBorders>
              <w:top w:val="single" w:color="auto" w:sz="4" w:space="0"/>
              <w:bottom w:val="single" w:color="auto" w:sz="4" w:space="0"/>
            </w:tcBorders>
          </w:tcPr>
          <w:p w14:paraId="26F30665">
            <w:pPr>
              <w:widowControl w:val="0"/>
              <w:spacing w:line="276" w:lineRule="auto"/>
              <w:ind w:firstLine="284"/>
              <w:jc w:val="both"/>
              <w:rPr>
                <w:color w:val="auto"/>
                <w:sz w:val="24"/>
                <w:szCs w:val="24"/>
              </w:rPr>
            </w:pPr>
          </w:p>
        </w:tc>
      </w:tr>
      <w:tr w14:paraId="04D074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45" w:hRule="atLeast"/>
          <w:jc w:val="center"/>
        </w:trPr>
        <w:tc>
          <w:tcPr>
            <w:tcW w:w="704" w:type="dxa"/>
            <w:vMerge w:val="continue"/>
          </w:tcPr>
          <w:p w14:paraId="6DBAD5BB">
            <w:pPr>
              <w:widowControl w:val="0"/>
              <w:spacing w:line="276" w:lineRule="auto"/>
              <w:rPr>
                <w:color w:val="auto"/>
                <w:sz w:val="24"/>
                <w:szCs w:val="24"/>
              </w:rPr>
            </w:pPr>
          </w:p>
        </w:tc>
        <w:tc>
          <w:tcPr>
            <w:tcW w:w="1843" w:type="dxa"/>
            <w:vMerge w:val="continue"/>
          </w:tcPr>
          <w:p w14:paraId="041EC9BC">
            <w:pPr>
              <w:widowControl w:val="0"/>
              <w:spacing w:line="276" w:lineRule="auto"/>
              <w:rPr>
                <w:color w:val="auto"/>
                <w:sz w:val="24"/>
                <w:szCs w:val="24"/>
              </w:rPr>
            </w:pPr>
          </w:p>
        </w:tc>
        <w:tc>
          <w:tcPr>
            <w:tcW w:w="1417" w:type="dxa"/>
            <w:vMerge w:val="continue"/>
          </w:tcPr>
          <w:p w14:paraId="7C824285">
            <w:pPr>
              <w:widowControl w:val="0"/>
              <w:spacing w:line="276" w:lineRule="auto"/>
              <w:rPr>
                <w:color w:val="auto"/>
                <w:sz w:val="24"/>
                <w:szCs w:val="24"/>
              </w:rPr>
            </w:pPr>
          </w:p>
        </w:tc>
        <w:tc>
          <w:tcPr>
            <w:tcW w:w="4051" w:type="dxa"/>
          </w:tcPr>
          <w:p w14:paraId="65FE20C0">
            <w:pPr>
              <w:spacing w:after="120"/>
              <w:jc w:val="both"/>
              <w:rPr>
                <w:color w:val="auto"/>
                <w:sz w:val="24"/>
                <w:szCs w:val="24"/>
              </w:rPr>
            </w:pPr>
            <w:r>
              <w:rPr>
                <w:color w:val="auto"/>
                <w:sz w:val="24"/>
                <w:szCs w:val="24"/>
              </w:rPr>
              <w:t>Điều 10 chỉ quy định các nội dung: Thông báo, kêu gọi đề xuất nhiệm vụ; thời hạn và địa chỉ nhận hồ sơ; xử lý hồ sơ đề xuất nhiệm vụ nhưng chưa quy định thành phần hồ sơ đề xuất nhiệm vụ.</w:t>
            </w:r>
          </w:p>
        </w:tc>
        <w:tc>
          <w:tcPr>
            <w:tcW w:w="1394" w:type="dxa"/>
            <w:vMerge w:val="continue"/>
          </w:tcPr>
          <w:p w14:paraId="24FA8702">
            <w:pPr>
              <w:widowControl w:val="0"/>
              <w:spacing w:line="276" w:lineRule="auto"/>
              <w:rPr>
                <w:color w:val="auto"/>
                <w:sz w:val="24"/>
                <w:szCs w:val="24"/>
              </w:rPr>
            </w:pPr>
          </w:p>
        </w:tc>
        <w:tc>
          <w:tcPr>
            <w:tcW w:w="1275" w:type="dxa"/>
            <w:vMerge w:val="continue"/>
          </w:tcPr>
          <w:p w14:paraId="569AAB5A">
            <w:pPr>
              <w:widowControl w:val="0"/>
              <w:spacing w:line="276" w:lineRule="auto"/>
              <w:rPr>
                <w:color w:val="auto"/>
                <w:sz w:val="24"/>
                <w:szCs w:val="24"/>
              </w:rPr>
            </w:pPr>
          </w:p>
        </w:tc>
        <w:tc>
          <w:tcPr>
            <w:tcW w:w="1245" w:type="dxa"/>
            <w:vMerge w:val="continue"/>
            <w:tcBorders>
              <w:top w:val="single" w:color="auto" w:sz="4" w:space="0"/>
              <w:bottom w:val="single" w:color="auto" w:sz="4" w:space="0"/>
            </w:tcBorders>
          </w:tcPr>
          <w:p w14:paraId="3D17C41E">
            <w:pPr>
              <w:widowControl w:val="0"/>
              <w:spacing w:line="276" w:lineRule="auto"/>
              <w:rPr>
                <w:color w:val="auto"/>
                <w:sz w:val="24"/>
                <w:szCs w:val="24"/>
              </w:rPr>
            </w:pPr>
          </w:p>
        </w:tc>
        <w:tc>
          <w:tcPr>
            <w:tcW w:w="1308" w:type="dxa"/>
            <w:vMerge w:val="continue"/>
            <w:tcBorders>
              <w:top w:val="single" w:color="auto" w:sz="4" w:space="0"/>
              <w:bottom w:val="single" w:color="auto" w:sz="4" w:space="0"/>
            </w:tcBorders>
          </w:tcPr>
          <w:p w14:paraId="0AB27492">
            <w:pPr>
              <w:widowControl w:val="0"/>
              <w:spacing w:line="276" w:lineRule="auto"/>
              <w:rPr>
                <w:color w:val="auto"/>
                <w:sz w:val="24"/>
                <w:szCs w:val="24"/>
              </w:rPr>
            </w:pPr>
          </w:p>
        </w:tc>
        <w:tc>
          <w:tcPr>
            <w:tcW w:w="2410" w:type="dxa"/>
            <w:vMerge w:val="continue"/>
            <w:tcBorders>
              <w:top w:val="single" w:color="auto" w:sz="4" w:space="0"/>
              <w:bottom w:val="single" w:color="auto" w:sz="4" w:space="0"/>
            </w:tcBorders>
          </w:tcPr>
          <w:p w14:paraId="29682764">
            <w:pPr>
              <w:widowControl w:val="0"/>
              <w:spacing w:line="276" w:lineRule="auto"/>
              <w:ind w:firstLine="284"/>
              <w:jc w:val="both"/>
              <w:rPr>
                <w:color w:val="auto"/>
                <w:sz w:val="24"/>
                <w:szCs w:val="24"/>
              </w:rPr>
            </w:pPr>
          </w:p>
        </w:tc>
      </w:tr>
      <w:tr w14:paraId="62368F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569" w:hRule="atLeast"/>
          <w:jc w:val="center"/>
        </w:trPr>
        <w:tc>
          <w:tcPr>
            <w:tcW w:w="704" w:type="dxa"/>
            <w:vMerge w:val="continue"/>
          </w:tcPr>
          <w:p w14:paraId="3DE89580">
            <w:pPr>
              <w:widowControl w:val="0"/>
              <w:spacing w:line="276" w:lineRule="auto"/>
              <w:rPr>
                <w:color w:val="auto"/>
                <w:sz w:val="24"/>
                <w:szCs w:val="24"/>
              </w:rPr>
            </w:pPr>
          </w:p>
        </w:tc>
        <w:tc>
          <w:tcPr>
            <w:tcW w:w="1843" w:type="dxa"/>
            <w:vMerge w:val="continue"/>
          </w:tcPr>
          <w:p w14:paraId="182D3668">
            <w:pPr>
              <w:widowControl w:val="0"/>
              <w:spacing w:line="276" w:lineRule="auto"/>
              <w:rPr>
                <w:color w:val="auto"/>
                <w:sz w:val="24"/>
                <w:szCs w:val="24"/>
              </w:rPr>
            </w:pPr>
          </w:p>
        </w:tc>
        <w:tc>
          <w:tcPr>
            <w:tcW w:w="1417" w:type="dxa"/>
            <w:vMerge w:val="continue"/>
          </w:tcPr>
          <w:p w14:paraId="1989DFD8">
            <w:pPr>
              <w:widowControl w:val="0"/>
              <w:spacing w:line="276" w:lineRule="auto"/>
              <w:rPr>
                <w:color w:val="auto"/>
                <w:sz w:val="24"/>
                <w:szCs w:val="24"/>
              </w:rPr>
            </w:pPr>
          </w:p>
        </w:tc>
        <w:tc>
          <w:tcPr>
            <w:tcW w:w="4051" w:type="dxa"/>
          </w:tcPr>
          <w:p w14:paraId="174B7315">
            <w:pPr>
              <w:widowControl w:val="0"/>
              <w:spacing w:before="120" w:after="120"/>
              <w:jc w:val="both"/>
              <w:rPr>
                <w:color w:val="auto"/>
                <w:sz w:val="24"/>
                <w:szCs w:val="24"/>
              </w:rPr>
            </w:pPr>
            <w:r>
              <w:rPr>
                <w:color w:val="auto"/>
                <w:sz w:val="24"/>
                <w:szCs w:val="24"/>
              </w:rPr>
              <w:t xml:space="preserve">Thành phần hồ sơ công nhận trung tâm hỗ trợ khởi nghiệp sáng tạo, trung tâm hỗ trợ KNST cấp tỉnh, cá nhân, nhóm cá nhân, doanh nghiệp KNST, chuyên gia hỗ trợ KNST, nhà đầu tư cá nhân KNST bao gồm </w:t>
            </w:r>
            <w:r>
              <w:rPr>
                <w:i/>
                <w:iCs/>
                <w:color w:val="auto"/>
                <w:sz w:val="24"/>
                <w:szCs w:val="24"/>
              </w:rPr>
              <w:t>“Văn bản xác nhận của cơ quan chủ quản đối với các nội dung đã trình bày trong thuyết minh trong trường hợp tổ chức thuộc quyền quản lý của bộ, cơ quan ngang bộ, cơ quan thuộc Chính phủ, cơ quan khác ở trung ương, Ủy ban nhân dân cấp tỉnh; văn bản xác nhận của Ủy ban nhân dân cấp tỉnh hoặc cơ quan được Ủy ban nhân dân cấp tỉnh phân cấp, nơi tổ chức có trụ sở chính đối với các nội dung đã trình bày trong thuyết minh trong trường hợp tổ chức không thuộc quyền quản lý của bộ, cơ quan ngang bộ, cơ quan thuộc Chính phủ, cơ quan khác ở trung ương, Ủy ban nhân dân cấp tỉnh”.</w:t>
            </w:r>
          </w:p>
          <w:p w14:paraId="00C2F99C">
            <w:pPr>
              <w:widowControl w:val="0"/>
              <w:spacing w:before="120" w:after="120"/>
              <w:jc w:val="both"/>
              <w:rPr>
                <w:color w:val="auto"/>
                <w:sz w:val="24"/>
                <w:szCs w:val="24"/>
              </w:rPr>
            </w:pPr>
            <w:r>
              <w:rPr>
                <w:color w:val="auto"/>
                <w:sz w:val="24"/>
                <w:szCs w:val="24"/>
              </w:rPr>
              <w:t>- Việc yêu cầu tổ chức, cá nhân, doanh nghiệp nộp văn bản xác nhận khi nộp hồ sơ đề nghị công nhận Trung tâm ĐMST, Trung tâm ĐMST cấp tỉnh, Trung tâm hỗ trợ KNST, Trung tâm hỗ trợ KNST cấp tỉnh, cá nhân, nhóm cá nhân, DNKNST, chuyên gia hỗ trợ KNST, nhà đầu tư cá nhân KNST là chưa phù hợp, gây khó khăn cho tổ chức, cá nhân, doanh nghiệp khi nộp hồ sơ bởi vì thẩm quyền cơ quan cấp văn bản xác nhận (để tổ chức, cá nhân, doanh nghiệp nộp hồ sơ đề nghị công nhận) cũng chính là cơ quan có thẩm quyền xét duyệt hồ sơ đề nghị công nhận và cấp Giấy công nhận.</w:t>
            </w:r>
          </w:p>
          <w:p w14:paraId="0EADF948">
            <w:pPr>
              <w:widowControl w:val="0"/>
              <w:spacing w:before="120" w:after="120"/>
              <w:jc w:val="both"/>
              <w:rPr>
                <w:color w:val="auto"/>
                <w:sz w:val="24"/>
                <w:szCs w:val="24"/>
              </w:rPr>
            </w:pPr>
            <w:r>
              <w:rPr>
                <w:color w:val="auto"/>
                <w:sz w:val="24"/>
                <w:szCs w:val="24"/>
              </w:rPr>
              <w:t>- Thành phần hồ sơ này chỉ nên yêu cầu khi tổ chức, doanh nghiệp nộp hồ sơ đề nghị công nhận Trung tâm ĐMST cấp quốc gia, Trung tâm hỗ trợ khởi KNST quốc gia (như quy định tại điểm d khoản 1 Điều 42), không nên yêu cầu khi tổ chức, doanh nghiệp nộp hồ sơ đề nghị công nhận đối với các trường hợp nêu tại Điều 43.</w:t>
            </w:r>
          </w:p>
          <w:p w14:paraId="6A069733">
            <w:pPr>
              <w:widowControl w:val="0"/>
              <w:spacing w:before="120" w:after="120"/>
              <w:jc w:val="both"/>
              <w:rPr>
                <w:color w:val="auto"/>
                <w:sz w:val="24"/>
                <w:szCs w:val="24"/>
              </w:rPr>
            </w:pPr>
            <w:r>
              <w:rPr>
                <w:color w:val="auto"/>
                <w:sz w:val="24"/>
                <w:szCs w:val="24"/>
              </w:rPr>
              <w:t>- Tại mục 7.1 biểu mẫu số IV.3.3.2: Phiếu đánh giá của Hội đồng tư vấn thẩm định hồ sơ yêu cầu công nhận cá nhân, nhóm cá nhân, DN KNST yêu cầu thành viên Hội đồng phải có ý kiến về tính đầy đủ của hồ sơ thì không thấy yêu cầu về Văn bản xác nhận của cơ quan có thẩm quyền. Như vậy có sự mâu thuẫn giữa điểm d khoản 1 Điều 43 và biểu mẫu số IV.5.3.1.</w:t>
            </w:r>
          </w:p>
          <w:p w14:paraId="15301E3C">
            <w:pPr>
              <w:widowControl w:val="0"/>
              <w:spacing w:before="120" w:after="120"/>
              <w:jc w:val="both"/>
              <w:rPr>
                <w:color w:val="auto"/>
                <w:sz w:val="24"/>
                <w:szCs w:val="24"/>
              </w:rPr>
            </w:pPr>
            <w:r>
              <w:rPr>
                <w:color w:val="auto"/>
                <w:sz w:val="24"/>
                <w:szCs w:val="24"/>
              </w:rPr>
              <w:t>Ghi chú: Đối với mẫu Phiếu đánh giá của các Hội đồng tư vấn thẩm định hồ sơ yêu cầu công nhận Trung tâm ĐMST cấp quốc gia, cấp tỉnh (mẫu số IV.5.1.1), Trung tâm hỗ trợ KNST cấp tỉnh, cấp quốc gia (mẫu số IV.5.2.1) thì vẫn có yêu cầu về Văn bản xác nhận của cơ quan  có thẩm quyền.</w:t>
            </w:r>
          </w:p>
        </w:tc>
        <w:tc>
          <w:tcPr>
            <w:tcW w:w="1394" w:type="dxa"/>
            <w:vMerge w:val="continue"/>
          </w:tcPr>
          <w:p w14:paraId="3253A240">
            <w:pPr>
              <w:widowControl w:val="0"/>
              <w:spacing w:line="276" w:lineRule="auto"/>
              <w:rPr>
                <w:color w:val="auto"/>
                <w:sz w:val="24"/>
                <w:szCs w:val="24"/>
              </w:rPr>
            </w:pPr>
          </w:p>
        </w:tc>
        <w:tc>
          <w:tcPr>
            <w:tcW w:w="1275" w:type="dxa"/>
            <w:vMerge w:val="continue"/>
          </w:tcPr>
          <w:p w14:paraId="6379C690">
            <w:pPr>
              <w:widowControl w:val="0"/>
              <w:spacing w:line="276" w:lineRule="auto"/>
              <w:rPr>
                <w:color w:val="auto"/>
                <w:sz w:val="24"/>
                <w:szCs w:val="24"/>
              </w:rPr>
            </w:pPr>
          </w:p>
        </w:tc>
        <w:tc>
          <w:tcPr>
            <w:tcW w:w="1245" w:type="dxa"/>
            <w:vMerge w:val="continue"/>
            <w:tcBorders>
              <w:top w:val="single" w:color="auto" w:sz="4" w:space="0"/>
              <w:bottom w:val="single" w:color="auto" w:sz="4" w:space="0"/>
            </w:tcBorders>
          </w:tcPr>
          <w:p w14:paraId="68BBACDB">
            <w:pPr>
              <w:widowControl w:val="0"/>
              <w:spacing w:line="276" w:lineRule="auto"/>
              <w:rPr>
                <w:color w:val="auto"/>
                <w:sz w:val="24"/>
                <w:szCs w:val="24"/>
              </w:rPr>
            </w:pPr>
          </w:p>
        </w:tc>
        <w:tc>
          <w:tcPr>
            <w:tcW w:w="1308" w:type="dxa"/>
            <w:vMerge w:val="continue"/>
            <w:tcBorders>
              <w:top w:val="single" w:color="auto" w:sz="4" w:space="0"/>
              <w:bottom w:val="single" w:color="auto" w:sz="4" w:space="0"/>
            </w:tcBorders>
          </w:tcPr>
          <w:p w14:paraId="68766942">
            <w:pPr>
              <w:widowControl w:val="0"/>
              <w:spacing w:line="276" w:lineRule="auto"/>
              <w:rPr>
                <w:color w:val="auto"/>
                <w:sz w:val="24"/>
                <w:szCs w:val="24"/>
              </w:rPr>
            </w:pPr>
          </w:p>
        </w:tc>
        <w:tc>
          <w:tcPr>
            <w:tcW w:w="2410" w:type="dxa"/>
            <w:tcBorders>
              <w:top w:val="single" w:color="auto" w:sz="4" w:space="0"/>
              <w:bottom w:val="single" w:color="auto" w:sz="4" w:space="0"/>
            </w:tcBorders>
          </w:tcPr>
          <w:p w14:paraId="2130DC63">
            <w:pPr>
              <w:widowControl w:val="0"/>
              <w:spacing w:line="276" w:lineRule="auto"/>
              <w:ind w:firstLine="284"/>
              <w:jc w:val="both"/>
              <w:rPr>
                <w:color w:val="auto"/>
                <w:sz w:val="24"/>
                <w:szCs w:val="24"/>
              </w:rPr>
            </w:pPr>
            <w:r>
              <w:rPr>
                <w:color w:val="auto"/>
                <w:sz w:val="24"/>
                <w:szCs w:val="24"/>
              </w:rPr>
              <w:t>Nhất trí</w:t>
            </w:r>
          </w:p>
        </w:tc>
      </w:tr>
      <w:tr w14:paraId="1012DA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569" w:hRule="atLeast"/>
          <w:jc w:val="center"/>
        </w:trPr>
        <w:tc>
          <w:tcPr>
            <w:tcW w:w="704" w:type="dxa"/>
            <w:vMerge w:val="continue"/>
          </w:tcPr>
          <w:p w14:paraId="0C362C4D">
            <w:pPr>
              <w:widowControl w:val="0"/>
              <w:spacing w:line="276" w:lineRule="auto"/>
              <w:rPr>
                <w:color w:val="auto"/>
                <w:sz w:val="24"/>
                <w:szCs w:val="24"/>
              </w:rPr>
            </w:pPr>
          </w:p>
        </w:tc>
        <w:tc>
          <w:tcPr>
            <w:tcW w:w="1843" w:type="dxa"/>
            <w:vMerge w:val="continue"/>
          </w:tcPr>
          <w:p w14:paraId="29B752C8">
            <w:pPr>
              <w:widowControl w:val="0"/>
              <w:spacing w:line="276" w:lineRule="auto"/>
              <w:rPr>
                <w:color w:val="auto"/>
                <w:sz w:val="24"/>
                <w:szCs w:val="24"/>
              </w:rPr>
            </w:pPr>
          </w:p>
        </w:tc>
        <w:tc>
          <w:tcPr>
            <w:tcW w:w="1417" w:type="dxa"/>
            <w:vMerge w:val="continue"/>
          </w:tcPr>
          <w:p w14:paraId="66DADB80">
            <w:pPr>
              <w:widowControl w:val="0"/>
              <w:spacing w:line="276" w:lineRule="auto"/>
              <w:rPr>
                <w:color w:val="auto"/>
                <w:sz w:val="24"/>
                <w:szCs w:val="24"/>
              </w:rPr>
            </w:pPr>
          </w:p>
        </w:tc>
        <w:tc>
          <w:tcPr>
            <w:tcW w:w="4051" w:type="dxa"/>
          </w:tcPr>
          <w:p w14:paraId="2D3160D1">
            <w:pPr>
              <w:widowControl w:val="0"/>
              <w:spacing w:before="120" w:after="120"/>
              <w:jc w:val="both"/>
              <w:rPr>
                <w:color w:val="auto"/>
                <w:sz w:val="24"/>
                <w:szCs w:val="24"/>
              </w:rPr>
            </w:pPr>
            <w:r>
              <w:rPr>
                <w:color w:val="auto"/>
                <w:sz w:val="24"/>
                <w:szCs w:val="24"/>
              </w:rPr>
              <w:t>Qua rà soát, quy định hiện hành chưa quy định cụ thể điều kiện về hạ tầng kỹ thuật việc công nhận Trung tâm hỗ trợ KNST cấp tỉnh, cấp quốc gia, đồng thời chưa giao cơ quan có thẩm quyền ban hành tiêu chí đánh giá, dẫn đến khó khăn trong việc xác định mức độ đáp ứng điều kiện của đối tượng thực hiện.</w:t>
            </w:r>
          </w:p>
        </w:tc>
        <w:tc>
          <w:tcPr>
            <w:tcW w:w="1394" w:type="dxa"/>
            <w:vMerge w:val="continue"/>
          </w:tcPr>
          <w:p w14:paraId="525CB508">
            <w:pPr>
              <w:widowControl w:val="0"/>
              <w:spacing w:line="276" w:lineRule="auto"/>
              <w:rPr>
                <w:color w:val="auto"/>
                <w:sz w:val="24"/>
                <w:szCs w:val="24"/>
              </w:rPr>
            </w:pPr>
          </w:p>
        </w:tc>
        <w:tc>
          <w:tcPr>
            <w:tcW w:w="1275" w:type="dxa"/>
            <w:vMerge w:val="continue"/>
          </w:tcPr>
          <w:p w14:paraId="64FECB0C">
            <w:pPr>
              <w:widowControl w:val="0"/>
              <w:spacing w:line="276" w:lineRule="auto"/>
              <w:rPr>
                <w:color w:val="auto"/>
                <w:sz w:val="24"/>
                <w:szCs w:val="24"/>
              </w:rPr>
            </w:pPr>
          </w:p>
        </w:tc>
        <w:tc>
          <w:tcPr>
            <w:tcW w:w="1245" w:type="dxa"/>
            <w:tcBorders>
              <w:top w:val="single" w:color="auto" w:sz="4" w:space="0"/>
              <w:bottom w:val="single" w:color="auto" w:sz="4" w:space="0"/>
            </w:tcBorders>
          </w:tcPr>
          <w:p w14:paraId="55035B55">
            <w:pPr>
              <w:widowControl w:val="0"/>
              <w:spacing w:line="276" w:lineRule="auto"/>
              <w:rPr>
                <w:color w:val="auto"/>
                <w:sz w:val="24"/>
                <w:szCs w:val="24"/>
              </w:rPr>
            </w:pPr>
            <w:r>
              <w:rPr>
                <w:color w:val="auto"/>
                <w:sz w:val="24"/>
                <w:szCs w:val="24"/>
              </w:rPr>
              <w:t xml:space="preserve">Tiêu chí </w:t>
            </w:r>
            <w:r>
              <w:rPr>
                <w:rFonts w:hint="default"/>
                <w:color w:val="auto"/>
                <w:sz w:val="24"/>
                <w:szCs w:val="24"/>
                <w:lang w:val="en-US"/>
              </w:rPr>
              <w:t>6</w:t>
            </w:r>
          </w:p>
        </w:tc>
        <w:tc>
          <w:tcPr>
            <w:tcW w:w="1308" w:type="dxa"/>
            <w:tcBorders>
              <w:top w:val="single" w:color="auto" w:sz="4" w:space="0"/>
              <w:bottom w:val="single" w:color="auto" w:sz="4" w:space="0"/>
            </w:tcBorders>
          </w:tcPr>
          <w:p w14:paraId="67034DA9">
            <w:pPr>
              <w:widowControl w:val="0"/>
              <w:spacing w:line="276" w:lineRule="auto"/>
              <w:jc w:val="center"/>
              <w:rPr>
                <w:color w:val="auto"/>
                <w:sz w:val="24"/>
                <w:szCs w:val="24"/>
              </w:rPr>
            </w:pPr>
            <w:r>
              <w:rPr>
                <w:color w:val="auto"/>
                <w:sz w:val="24"/>
                <w:szCs w:val="24"/>
              </w:rPr>
              <w:t>Đã cập nhật theo ý kiến thẩm định</w:t>
            </w:r>
          </w:p>
        </w:tc>
        <w:tc>
          <w:tcPr>
            <w:tcW w:w="2410" w:type="dxa"/>
            <w:tcBorders>
              <w:top w:val="single" w:color="auto" w:sz="4" w:space="0"/>
              <w:bottom w:val="single" w:color="auto" w:sz="4" w:space="0"/>
            </w:tcBorders>
          </w:tcPr>
          <w:p w14:paraId="3FF7DDDB">
            <w:pPr>
              <w:widowControl w:val="0"/>
              <w:spacing w:line="276" w:lineRule="auto"/>
              <w:ind w:firstLine="284"/>
              <w:jc w:val="both"/>
              <w:rPr>
                <w:color w:val="auto"/>
                <w:sz w:val="24"/>
                <w:szCs w:val="24"/>
              </w:rPr>
            </w:pPr>
            <w:r>
              <w:rPr>
                <w:color w:val="auto"/>
                <w:sz w:val="24"/>
                <w:szCs w:val="24"/>
              </w:rPr>
              <w:t>Cần làm rõ, hoàn thiện thêm để xác định chính xác Tiêu chí rà soát, đề nghị cân nhắc xếp vào Tiêu chí 6.</w:t>
            </w:r>
          </w:p>
          <w:p w14:paraId="42AFC6CB">
            <w:pPr>
              <w:widowControl w:val="0"/>
              <w:spacing w:line="276" w:lineRule="auto"/>
              <w:ind w:firstLine="284"/>
              <w:jc w:val="both"/>
              <w:rPr>
                <w:color w:val="auto"/>
                <w:sz w:val="24"/>
                <w:szCs w:val="24"/>
              </w:rPr>
            </w:pPr>
          </w:p>
        </w:tc>
      </w:tr>
      <w:tr w14:paraId="0BAB86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6" w:hRule="atLeast"/>
          <w:jc w:val="center"/>
        </w:trPr>
        <w:tc>
          <w:tcPr>
            <w:tcW w:w="704" w:type="dxa"/>
            <w:vMerge w:val="continue"/>
          </w:tcPr>
          <w:p w14:paraId="440E3E01">
            <w:pPr>
              <w:widowControl w:val="0"/>
              <w:spacing w:line="276" w:lineRule="auto"/>
              <w:rPr>
                <w:color w:val="auto"/>
                <w:sz w:val="24"/>
                <w:szCs w:val="24"/>
              </w:rPr>
            </w:pPr>
          </w:p>
        </w:tc>
        <w:tc>
          <w:tcPr>
            <w:tcW w:w="1843" w:type="dxa"/>
            <w:vMerge w:val="continue"/>
          </w:tcPr>
          <w:p w14:paraId="576556F2">
            <w:pPr>
              <w:widowControl w:val="0"/>
              <w:spacing w:line="276" w:lineRule="auto"/>
              <w:rPr>
                <w:color w:val="auto"/>
                <w:sz w:val="24"/>
                <w:szCs w:val="24"/>
              </w:rPr>
            </w:pPr>
          </w:p>
        </w:tc>
        <w:tc>
          <w:tcPr>
            <w:tcW w:w="1417" w:type="dxa"/>
            <w:vMerge w:val="continue"/>
          </w:tcPr>
          <w:p w14:paraId="69A60215">
            <w:pPr>
              <w:widowControl w:val="0"/>
              <w:spacing w:line="276" w:lineRule="auto"/>
              <w:rPr>
                <w:color w:val="auto"/>
                <w:sz w:val="24"/>
                <w:szCs w:val="24"/>
              </w:rPr>
            </w:pPr>
          </w:p>
        </w:tc>
        <w:tc>
          <w:tcPr>
            <w:tcW w:w="4051" w:type="dxa"/>
          </w:tcPr>
          <w:p w14:paraId="677FAED3">
            <w:pPr>
              <w:spacing w:after="120"/>
              <w:jc w:val="both"/>
              <w:rPr>
                <w:color w:val="auto"/>
                <w:sz w:val="24"/>
                <w:szCs w:val="24"/>
              </w:rPr>
            </w:pPr>
            <w:r>
              <w:rPr>
                <w:color w:val="auto"/>
                <w:sz w:val="24"/>
                <w:szCs w:val="24"/>
              </w:rPr>
              <w:t>Chưa có quy định về tiêu chí xác định "sản phẩm đổi mới sáng tạo", “chuyển đổi số”. Kiến nghị các cơ quan có thẩm quyền cần ban hành định nghĩa và giải thích nội hàm pháp lý một các chuẩn xác cho cụm từ "Đổi mới sáng tạo", “Chuyển đổi số”. Cần có bộ tiêu chí rõ ràng để đánh giá, kiểm chứng thế nào là một "sản phẩm đổi mới sáng tạo", “chuyển đổi số” tránh tình trạng mông lung cho cả cơ quan quản lý, nhà khoa học và doanh nghiệp khi áp dụng các chính sách ưu đãi.</w:t>
            </w:r>
          </w:p>
        </w:tc>
        <w:tc>
          <w:tcPr>
            <w:tcW w:w="1394" w:type="dxa"/>
            <w:vMerge w:val="continue"/>
          </w:tcPr>
          <w:p w14:paraId="7E8A4230">
            <w:pPr>
              <w:widowControl w:val="0"/>
              <w:spacing w:line="276" w:lineRule="auto"/>
              <w:rPr>
                <w:color w:val="auto"/>
                <w:sz w:val="24"/>
                <w:szCs w:val="24"/>
              </w:rPr>
            </w:pPr>
          </w:p>
        </w:tc>
        <w:tc>
          <w:tcPr>
            <w:tcW w:w="1275" w:type="dxa"/>
            <w:vMerge w:val="continue"/>
          </w:tcPr>
          <w:p w14:paraId="2F12DE43">
            <w:pPr>
              <w:widowControl w:val="0"/>
              <w:spacing w:line="276" w:lineRule="auto"/>
              <w:rPr>
                <w:color w:val="auto"/>
                <w:sz w:val="24"/>
                <w:szCs w:val="24"/>
              </w:rPr>
            </w:pPr>
          </w:p>
        </w:tc>
        <w:tc>
          <w:tcPr>
            <w:tcW w:w="1245" w:type="dxa"/>
            <w:tcBorders>
              <w:top w:val="single" w:color="auto" w:sz="4" w:space="0"/>
            </w:tcBorders>
          </w:tcPr>
          <w:p w14:paraId="1D062EC3">
            <w:pPr>
              <w:widowControl w:val="0"/>
              <w:spacing w:line="276" w:lineRule="auto"/>
              <w:rPr>
                <w:color w:val="auto"/>
                <w:sz w:val="24"/>
                <w:szCs w:val="24"/>
              </w:rPr>
            </w:pPr>
            <w:r>
              <w:rPr>
                <w:color w:val="auto"/>
                <w:sz w:val="24"/>
                <w:szCs w:val="24"/>
              </w:rPr>
              <w:t xml:space="preserve">Tiêu chí </w:t>
            </w:r>
            <w:r>
              <w:rPr>
                <w:rFonts w:hint="default"/>
                <w:color w:val="auto"/>
                <w:sz w:val="24"/>
                <w:szCs w:val="24"/>
                <w:lang w:val="en-US"/>
              </w:rPr>
              <w:t>6</w:t>
            </w:r>
          </w:p>
        </w:tc>
        <w:tc>
          <w:tcPr>
            <w:tcW w:w="1308" w:type="dxa"/>
            <w:tcBorders>
              <w:top w:val="single" w:color="auto" w:sz="4" w:space="0"/>
            </w:tcBorders>
          </w:tcPr>
          <w:p w14:paraId="3329C764">
            <w:pPr>
              <w:widowControl w:val="0"/>
              <w:spacing w:line="276" w:lineRule="auto"/>
              <w:jc w:val="center"/>
              <w:rPr>
                <w:color w:val="auto"/>
                <w:sz w:val="24"/>
                <w:szCs w:val="24"/>
              </w:rPr>
            </w:pPr>
            <w:r>
              <w:rPr>
                <w:color w:val="auto"/>
                <w:sz w:val="24"/>
                <w:szCs w:val="24"/>
              </w:rPr>
              <w:t>Đã cập nhật theo ý kiến thẩm định</w:t>
            </w:r>
          </w:p>
        </w:tc>
        <w:tc>
          <w:tcPr>
            <w:tcW w:w="2410" w:type="dxa"/>
            <w:tcBorders>
              <w:top w:val="single" w:color="auto" w:sz="4" w:space="0"/>
            </w:tcBorders>
          </w:tcPr>
          <w:p w14:paraId="0EF444B3">
            <w:pPr>
              <w:widowControl w:val="0"/>
              <w:spacing w:line="276" w:lineRule="auto"/>
              <w:ind w:firstLine="284"/>
              <w:jc w:val="both"/>
              <w:rPr>
                <w:color w:val="auto"/>
                <w:sz w:val="24"/>
                <w:szCs w:val="24"/>
              </w:rPr>
            </w:pPr>
            <w:r>
              <w:rPr>
                <w:color w:val="auto"/>
                <w:sz w:val="24"/>
                <w:szCs w:val="24"/>
              </w:rPr>
              <w:t>Cần làm rõ, hoàn thiện thêm để xác định chính xác Tiêu chí rà soát, đề nghị cân nhắc xếp vào Tiêu chí 6.</w:t>
            </w:r>
          </w:p>
        </w:tc>
      </w:tr>
      <w:tr w14:paraId="2033C0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90" w:hRule="atLeast"/>
          <w:jc w:val="center"/>
        </w:trPr>
        <w:tc>
          <w:tcPr>
            <w:tcW w:w="704" w:type="dxa"/>
            <w:vMerge w:val="restart"/>
          </w:tcPr>
          <w:p w14:paraId="678F6EAB">
            <w:pPr>
              <w:numPr>
                <w:ilvl w:val="0"/>
                <w:numId w:val="1"/>
              </w:numPr>
              <w:tabs>
                <w:tab w:val="left" w:pos="425"/>
              </w:tabs>
              <w:ind w:left="501" w:leftChars="0" w:firstLineChars="0"/>
              <w:rPr>
                <w:color w:val="auto"/>
                <w:sz w:val="24"/>
                <w:szCs w:val="24"/>
              </w:rPr>
            </w:pPr>
          </w:p>
        </w:tc>
        <w:tc>
          <w:tcPr>
            <w:tcW w:w="1843" w:type="dxa"/>
            <w:vMerge w:val="restart"/>
          </w:tcPr>
          <w:p w14:paraId="16AEEA20">
            <w:pPr>
              <w:spacing w:before="120"/>
              <w:jc w:val="both"/>
              <w:rPr>
                <w:color w:val="auto"/>
                <w:sz w:val="24"/>
                <w:szCs w:val="24"/>
              </w:rPr>
            </w:pPr>
            <w:bookmarkStart w:id="2" w:name="_Hlk234584512"/>
            <w:r>
              <w:rPr>
                <w:color w:val="auto"/>
                <w:sz w:val="24"/>
                <w:szCs w:val="24"/>
              </w:rPr>
              <w:t xml:space="preserve">Nghị định số 265/2025/NĐ-CP </w:t>
            </w:r>
            <w:bookmarkEnd w:id="2"/>
            <w:bookmarkStart w:id="3" w:name="_Hlk234584564"/>
            <w:r>
              <w:rPr>
                <w:color w:val="auto"/>
                <w:sz w:val="24"/>
                <w:szCs w:val="24"/>
              </w:rPr>
              <w:t>của Chính phủ Quy định chi tiết và hướng dẫn thi hành một số điều của Luật Khoa học, công nghệ và đổi mới sáng tạo về tài chính và đầu tư trong khoa học, công nghệ và đổi mới sáng tạo</w:t>
            </w:r>
            <w:bookmarkEnd w:id="3"/>
          </w:p>
        </w:tc>
        <w:tc>
          <w:tcPr>
            <w:tcW w:w="1417" w:type="dxa"/>
          </w:tcPr>
          <w:p w14:paraId="720E3E28">
            <w:pPr>
              <w:spacing w:before="120"/>
              <w:jc w:val="both"/>
              <w:rPr>
                <w:rFonts w:hint="default"/>
                <w:color w:val="auto"/>
                <w:sz w:val="24"/>
                <w:szCs w:val="24"/>
                <w:lang w:val="en-US"/>
              </w:rPr>
            </w:pPr>
            <w:r>
              <w:rPr>
                <w:color w:val="auto"/>
                <w:sz w:val="24"/>
                <w:szCs w:val="24"/>
              </w:rPr>
              <w:t>Nghị định số 268/2025/NĐ-CP</w:t>
            </w:r>
            <w:r>
              <w:rPr>
                <w:rFonts w:hint="default"/>
                <w:color w:val="auto"/>
                <w:sz w:val="24"/>
                <w:szCs w:val="24"/>
                <w:lang w:val="en-US"/>
              </w:rPr>
              <w:t xml:space="preserve"> </w:t>
            </w:r>
            <w:r>
              <w:rPr>
                <w:color w:val="auto"/>
                <w:sz w:val="24"/>
                <w:szCs w:val="24"/>
              </w:rPr>
              <w:t>ngày 14/10/2025 của Chính phủ Quy định chi tiết và hướng dẫn một số điều của Luật Khoa học, công nghệ và đổi mới sáng tạo về đổi mới sáng tạo; khuyến khích hoạt động khoa học, công nghệ và đổi mới sáng tạo trong doanh nghiệp; công nhận trung tâm đổi mới sáng tạo, hỗ trợ khởi nghiệp sáng tạo; công nhận cá nhân, doanh nghiệp khởi nghiệp sáng tạo; hạ tầng mạng lưới và hệ sinh thái khởi nghiệp sáng tạo</w:t>
            </w:r>
          </w:p>
        </w:tc>
        <w:tc>
          <w:tcPr>
            <w:tcW w:w="4051" w:type="dxa"/>
          </w:tcPr>
          <w:p w14:paraId="06A7F48B">
            <w:pPr>
              <w:jc w:val="both"/>
              <w:rPr>
                <w:color w:val="auto"/>
                <w:sz w:val="24"/>
                <w:szCs w:val="24"/>
              </w:rPr>
            </w:pPr>
            <w:r>
              <w:rPr>
                <w:color w:val="auto"/>
                <w:sz w:val="24"/>
                <w:szCs w:val="24"/>
              </w:rPr>
              <w:t>Khoản 3 Điều 5 Nghị định số 268/2025/NĐ-CP quy định nhiệm vụ đổi mới sáng tạo bao gồm nhiệm vụ hỗ trợ khởi nghiệp sáng tạo. Tuy nhiên, các nội dung chi ngân sách nhà nước cho hoạt động khoa học, công nghệ và đổi mới sáng tạo quy định tại khoản 4 Điều 6 Nghị định số 265/2025/NĐ-CP chưa quy định hoặc chưa thể hiện rõ nội dung chi đối với nhiệm vụ hỗ trợ khởi nghiệp sáng tạo, cụ. Điều này gây khó khăn trong việc xây dựng, phê duyệt, bố trí kinh phí và tổ chức thực hiện các nhiệm vụ hỗ trợ khởi nghiệp sáng tạo sử dụng ngân sách nhà nước.</w:t>
            </w:r>
          </w:p>
        </w:tc>
        <w:tc>
          <w:tcPr>
            <w:tcW w:w="1394" w:type="dxa"/>
          </w:tcPr>
          <w:p w14:paraId="05DFC86B">
            <w:pPr>
              <w:jc w:val="center"/>
              <w:rPr>
                <w:color w:val="auto"/>
                <w:sz w:val="24"/>
                <w:szCs w:val="24"/>
              </w:rPr>
            </w:pPr>
            <w:r>
              <w:rPr>
                <w:color w:val="auto"/>
                <w:sz w:val="24"/>
                <w:szCs w:val="24"/>
              </w:rPr>
              <w:t>sửa đổi, bổ sung</w:t>
            </w:r>
          </w:p>
        </w:tc>
        <w:tc>
          <w:tcPr>
            <w:tcW w:w="1275" w:type="dxa"/>
          </w:tcPr>
          <w:p w14:paraId="0A339110">
            <w:pPr>
              <w:jc w:val="center"/>
              <w:rPr>
                <w:color w:val="auto"/>
                <w:sz w:val="24"/>
                <w:szCs w:val="24"/>
              </w:rPr>
            </w:pPr>
            <w:r>
              <w:rPr>
                <w:rFonts w:hint="default"/>
                <w:color w:val="auto"/>
                <w:sz w:val="24"/>
                <w:szCs w:val="24"/>
                <w:lang w:val="en-US"/>
              </w:rPr>
              <w:t>Tháng 12/</w:t>
            </w:r>
            <w:r>
              <w:rPr>
                <w:color w:val="auto"/>
                <w:sz w:val="24"/>
                <w:szCs w:val="24"/>
              </w:rPr>
              <w:t>2027</w:t>
            </w:r>
          </w:p>
        </w:tc>
        <w:tc>
          <w:tcPr>
            <w:tcW w:w="1245" w:type="dxa"/>
          </w:tcPr>
          <w:p w14:paraId="0C42F18E">
            <w:pPr>
              <w:jc w:val="center"/>
              <w:rPr>
                <w:color w:val="auto"/>
                <w:sz w:val="24"/>
                <w:szCs w:val="24"/>
              </w:rPr>
            </w:pPr>
            <w:r>
              <w:rPr>
                <w:color w:val="auto"/>
                <w:sz w:val="24"/>
                <w:szCs w:val="24"/>
              </w:rPr>
              <w:t>Tiêu chí 2</w:t>
            </w:r>
          </w:p>
        </w:tc>
        <w:tc>
          <w:tcPr>
            <w:tcW w:w="1308" w:type="dxa"/>
            <w:vMerge w:val="restart"/>
          </w:tcPr>
          <w:p w14:paraId="798FA4D4">
            <w:pPr>
              <w:jc w:val="center"/>
              <w:rPr>
                <w:color w:val="auto"/>
                <w:sz w:val="24"/>
                <w:szCs w:val="24"/>
              </w:rPr>
            </w:pPr>
            <w:r>
              <w:rPr>
                <w:color w:val="auto"/>
                <w:sz w:val="24"/>
                <w:szCs w:val="24"/>
              </w:rPr>
              <w:t>Đã cập nhật theo ý kiến thẩm định</w:t>
            </w:r>
          </w:p>
        </w:tc>
        <w:tc>
          <w:tcPr>
            <w:tcW w:w="2410" w:type="dxa"/>
          </w:tcPr>
          <w:p w14:paraId="65020648">
            <w:pPr>
              <w:ind w:firstLine="284"/>
              <w:jc w:val="both"/>
              <w:rPr>
                <w:color w:val="auto"/>
                <w:sz w:val="24"/>
                <w:szCs w:val="24"/>
              </w:rPr>
            </w:pPr>
            <w:r>
              <w:rPr>
                <w:color w:val="auto"/>
                <w:sz w:val="24"/>
                <w:szCs w:val="24"/>
              </w:rPr>
              <w:t>- Nhất trí.</w:t>
            </w:r>
          </w:p>
          <w:p w14:paraId="3DD8AD54">
            <w:pPr>
              <w:ind w:firstLine="284"/>
              <w:jc w:val="both"/>
              <w:rPr>
                <w:color w:val="auto"/>
                <w:sz w:val="24"/>
                <w:szCs w:val="24"/>
              </w:rPr>
            </w:pPr>
            <w:r>
              <w:rPr>
                <w:color w:val="auto"/>
                <w:sz w:val="24"/>
                <w:szCs w:val="24"/>
              </w:rPr>
              <w:t>- Đề nghị chỉnh lý tên văn bản làm căn cứ rà soát đầy đủ.</w:t>
            </w:r>
          </w:p>
          <w:p w14:paraId="19287C70">
            <w:pPr>
              <w:ind w:firstLine="284"/>
              <w:jc w:val="both"/>
              <w:rPr>
                <w:color w:val="auto"/>
                <w:sz w:val="24"/>
                <w:szCs w:val="24"/>
              </w:rPr>
            </w:pPr>
          </w:p>
        </w:tc>
      </w:tr>
      <w:tr w14:paraId="499259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64" w:hRule="atLeast"/>
          <w:jc w:val="center"/>
        </w:trPr>
        <w:tc>
          <w:tcPr>
            <w:tcW w:w="704" w:type="dxa"/>
            <w:vMerge w:val="continue"/>
          </w:tcPr>
          <w:p w14:paraId="5D88F66E">
            <w:pPr>
              <w:widowControl w:val="0"/>
              <w:spacing w:line="276" w:lineRule="auto"/>
              <w:rPr>
                <w:color w:val="auto"/>
                <w:sz w:val="24"/>
                <w:szCs w:val="24"/>
              </w:rPr>
            </w:pPr>
          </w:p>
        </w:tc>
        <w:tc>
          <w:tcPr>
            <w:tcW w:w="1843" w:type="dxa"/>
            <w:vMerge w:val="continue"/>
          </w:tcPr>
          <w:p w14:paraId="596D4DC4">
            <w:pPr>
              <w:widowControl w:val="0"/>
              <w:spacing w:line="276" w:lineRule="auto"/>
              <w:rPr>
                <w:color w:val="auto"/>
                <w:sz w:val="24"/>
                <w:szCs w:val="24"/>
              </w:rPr>
            </w:pPr>
          </w:p>
        </w:tc>
        <w:tc>
          <w:tcPr>
            <w:tcW w:w="1417" w:type="dxa"/>
          </w:tcPr>
          <w:p w14:paraId="5A6B6B06">
            <w:pPr>
              <w:spacing w:before="120"/>
              <w:jc w:val="both"/>
              <w:rPr>
                <w:rFonts w:hint="default"/>
                <w:color w:val="auto"/>
                <w:sz w:val="24"/>
                <w:szCs w:val="24"/>
                <w:lang w:val="en-US"/>
              </w:rPr>
            </w:pPr>
            <w:r>
              <w:rPr>
                <w:color w:val="auto"/>
                <w:sz w:val="24"/>
                <w:szCs w:val="24"/>
              </w:rPr>
              <w:t>Nghị định số 267/2025/NĐ-CP</w:t>
            </w:r>
            <w:r>
              <w:rPr>
                <w:rFonts w:hint="default"/>
                <w:color w:val="auto"/>
                <w:sz w:val="24"/>
                <w:szCs w:val="24"/>
                <w:lang w:val="en-US"/>
              </w:rPr>
              <w:t xml:space="preserve"> </w:t>
            </w:r>
            <w:r>
              <w:rPr>
                <w:color w:val="auto"/>
                <w:sz w:val="24"/>
                <w:szCs w:val="24"/>
              </w:rPr>
              <w:t xml:space="preserve"> ngày 14/10/2025 của Chính phủ quy định chi tiết và hướng dẫn một số điều của Luật Khoa học, công nghệ và đổi mới sáng tạo về chương trình nhiệm vụ khoa học công nghệ và đổi mới sáng tạo và một số quy định về thúc đẩy hoạt động nghiên cứu khoa học phát triển công nghệ và đổi mới sáng tạo</w:t>
            </w:r>
          </w:p>
        </w:tc>
        <w:tc>
          <w:tcPr>
            <w:tcW w:w="4051" w:type="dxa"/>
          </w:tcPr>
          <w:p w14:paraId="6AD8481B">
            <w:pPr>
              <w:spacing w:after="120"/>
              <w:ind w:right="134"/>
              <w:jc w:val="both"/>
              <w:rPr>
                <w:color w:val="auto"/>
                <w:sz w:val="24"/>
                <w:szCs w:val="24"/>
              </w:rPr>
            </w:pPr>
            <w:r>
              <w:rPr>
                <w:color w:val="auto"/>
                <w:sz w:val="24"/>
                <w:szCs w:val="24"/>
              </w:rPr>
              <w:t xml:space="preserve">Điểm i khoản 1 Điều 6 Nghị định số 265/2025/NĐ-CP của Chính phủ Quy định chi tiết và hướng dẫn thi hành một số điều của Luật Khoa học, công nghệ và đổi mới sáng tạo về tài chính và đầu tư trong khoa học, công nghệ và đổi mới sáng tạo có quy định nội dung chi cho tự đánh giá kết quả thực hiện nhiệm vụ của đơn vị chủ trì nhiệm vụ khoa học công nghệ và đổi mới sáng tạo trong khi Nghị định số 267/2025/NĐ-CP không có quy định về việc này </w:t>
            </w:r>
          </w:p>
        </w:tc>
        <w:tc>
          <w:tcPr>
            <w:tcW w:w="1394" w:type="dxa"/>
          </w:tcPr>
          <w:p w14:paraId="4C90D4EB">
            <w:pPr>
              <w:jc w:val="center"/>
              <w:rPr>
                <w:color w:val="auto"/>
                <w:sz w:val="24"/>
                <w:szCs w:val="24"/>
              </w:rPr>
            </w:pPr>
            <w:r>
              <w:rPr>
                <w:color w:val="auto"/>
                <w:sz w:val="24"/>
                <w:szCs w:val="24"/>
              </w:rPr>
              <w:t>sửa đổi, bổ sung</w:t>
            </w:r>
          </w:p>
        </w:tc>
        <w:tc>
          <w:tcPr>
            <w:tcW w:w="1275" w:type="dxa"/>
          </w:tcPr>
          <w:p w14:paraId="4033F1BE">
            <w:pPr>
              <w:jc w:val="center"/>
              <w:rPr>
                <w:color w:val="auto"/>
                <w:sz w:val="24"/>
                <w:szCs w:val="24"/>
              </w:rPr>
            </w:pPr>
            <w:r>
              <w:rPr>
                <w:rFonts w:hint="default"/>
                <w:color w:val="auto"/>
                <w:sz w:val="24"/>
                <w:szCs w:val="24"/>
                <w:lang w:val="en-US"/>
              </w:rPr>
              <w:t>Tháng 12/</w:t>
            </w:r>
            <w:r>
              <w:rPr>
                <w:color w:val="auto"/>
                <w:sz w:val="24"/>
                <w:szCs w:val="24"/>
              </w:rPr>
              <w:t>2027</w:t>
            </w:r>
          </w:p>
        </w:tc>
        <w:tc>
          <w:tcPr>
            <w:tcW w:w="1245" w:type="dxa"/>
          </w:tcPr>
          <w:p w14:paraId="72F28CA0">
            <w:pPr>
              <w:jc w:val="center"/>
              <w:rPr>
                <w:color w:val="auto"/>
                <w:sz w:val="24"/>
                <w:szCs w:val="24"/>
              </w:rPr>
            </w:pPr>
            <w:r>
              <w:rPr>
                <w:color w:val="auto"/>
                <w:sz w:val="24"/>
                <w:szCs w:val="24"/>
              </w:rPr>
              <w:t>Tiêu chí 2</w:t>
            </w:r>
          </w:p>
        </w:tc>
        <w:tc>
          <w:tcPr>
            <w:tcW w:w="1308" w:type="dxa"/>
            <w:vMerge w:val="continue"/>
          </w:tcPr>
          <w:p w14:paraId="564EFB21">
            <w:pPr>
              <w:widowControl w:val="0"/>
              <w:spacing w:line="276" w:lineRule="auto"/>
              <w:rPr>
                <w:color w:val="auto"/>
                <w:sz w:val="24"/>
                <w:szCs w:val="24"/>
              </w:rPr>
            </w:pPr>
          </w:p>
        </w:tc>
        <w:tc>
          <w:tcPr>
            <w:tcW w:w="2410" w:type="dxa"/>
          </w:tcPr>
          <w:p w14:paraId="4E5BBD1D">
            <w:pPr>
              <w:widowControl w:val="0"/>
              <w:spacing w:line="276" w:lineRule="auto"/>
              <w:ind w:firstLine="284"/>
              <w:jc w:val="both"/>
              <w:rPr>
                <w:color w:val="auto"/>
                <w:sz w:val="24"/>
                <w:szCs w:val="24"/>
              </w:rPr>
            </w:pPr>
            <w:r>
              <w:rPr>
                <w:color w:val="auto"/>
                <w:sz w:val="24"/>
                <w:szCs w:val="24"/>
              </w:rPr>
              <w:t>- Nhất trí.</w:t>
            </w:r>
          </w:p>
          <w:p w14:paraId="7733E8A5">
            <w:pPr>
              <w:ind w:firstLine="284"/>
              <w:jc w:val="both"/>
              <w:rPr>
                <w:color w:val="auto"/>
                <w:sz w:val="24"/>
                <w:szCs w:val="24"/>
              </w:rPr>
            </w:pPr>
            <w:r>
              <w:rPr>
                <w:color w:val="auto"/>
                <w:sz w:val="24"/>
                <w:szCs w:val="24"/>
              </w:rPr>
              <w:t>- Đề nghị chỉnh lý tên văn bản làm căn cứ rà soát đầy đủ.</w:t>
            </w:r>
          </w:p>
          <w:p w14:paraId="14C95B47">
            <w:pPr>
              <w:widowControl w:val="0"/>
              <w:spacing w:line="276" w:lineRule="auto"/>
              <w:ind w:firstLine="284"/>
              <w:jc w:val="both"/>
              <w:rPr>
                <w:color w:val="auto"/>
                <w:sz w:val="24"/>
                <w:szCs w:val="24"/>
              </w:rPr>
            </w:pPr>
          </w:p>
        </w:tc>
      </w:tr>
      <w:tr w14:paraId="234D58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520" w:hRule="atLeast"/>
          <w:jc w:val="center"/>
        </w:trPr>
        <w:tc>
          <w:tcPr>
            <w:tcW w:w="704" w:type="dxa"/>
            <w:vMerge w:val="continue"/>
          </w:tcPr>
          <w:p w14:paraId="663D3225">
            <w:pPr>
              <w:widowControl w:val="0"/>
              <w:spacing w:line="276" w:lineRule="auto"/>
              <w:rPr>
                <w:color w:val="auto"/>
                <w:sz w:val="24"/>
                <w:szCs w:val="24"/>
              </w:rPr>
            </w:pPr>
          </w:p>
        </w:tc>
        <w:tc>
          <w:tcPr>
            <w:tcW w:w="1843" w:type="dxa"/>
            <w:vMerge w:val="continue"/>
          </w:tcPr>
          <w:p w14:paraId="1C643864">
            <w:pPr>
              <w:widowControl w:val="0"/>
              <w:spacing w:line="276" w:lineRule="auto"/>
              <w:rPr>
                <w:color w:val="auto"/>
                <w:sz w:val="24"/>
                <w:szCs w:val="24"/>
              </w:rPr>
            </w:pPr>
          </w:p>
        </w:tc>
        <w:tc>
          <w:tcPr>
            <w:tcW w:w="1417" w:type="dxa"/>
          </w:tcPr>
          <w:p w14:paraId="52BF1079">
            <w:pPr>
              <w:spacing w:before="120"/>
              <w:jc w:val="both"/>
              <w:rPr>
                <w:color w:val="auto"/>
                <w:sz w:val="24"/>
                <w:szCs w:val="24"/>
              </w:rPr>
            </w:pPr>
            <w:r>
              <w:rPr>
                <w:color w:val="auto"/>
                <w:sz w:val="24"/>
                <w:szCs w:val="24"/>
              </w:rPr>
              <w:t>Tình hình thực tiễn</w:t>
            </w:r>
          </w:p>
        </w:tc>
        <w:tc>
          <w:tcPr>
            <w:tcW w:w="4051" w:type="dxa"/>
          </w:tcPr>
          <w:p w14:paraId="795E7EA6">
            <w:pPr>
              <w:jc w:val="both"/>
              <w:rPr>
                <w:color w:val="auto"/>
                <w:sz w:val="24"/>
                <w:szCs w:val="24"/>
              </w:rPr>
            </w:pPr>
            <w:r>
              <w:rPr>
                <w:color w:val="auto"/>
                <w:sz w:val="24"/>
                <w:szCs w:val="24"/>
              </w:rPr>
              <w:t>Chưa có hướng dẫn chi tiết chi của doanh nghiệp dành cho nghiên cứu, phát triển và đổi mới sáng tạo tại khoản 3 Điều 15 Nghị định 265/2025/NĐ-CP dẫn tới việc gây khó khăn cho doanh nghiệp trong việc minh chứng điều kiện tổng chi cho hoạt động nghiên cứu khoa học, phát triển công nghệ và đổi mới sáng tạo trong hồ sơ đăng ký chứng nhận doanh nghiệp khoa học và công nghệ.</w:t>
            </w:r>
          </w:p>
        </w:tc>
        <w:tc>
          <w:tcPr>
            <w:tcW w:w="1394" w:type="dxa"/>
          </w:tcPr>
          <w:p w14:paraId="441FE1EC">
            <w:pPr>
              <w:jc w:val="center"/>
              <w:rPr>
                <w:color w:val="auto"/>
                <w:sz w:val="24"/>
                <w:szCs w:val="24"/>
              </w:rPr>
            </w:pPr>
            <w:r>
              <w:rPr>
                <w:color w:val="auto"/>
                <w:sz w:val="24"/>
                <w:szCs w:val="24"/>
              </w:rPr>
              <w:t>sửa đổi, bổ sung</w:t>
            </w:r>
          </w:p>
        </w:tc>
        <w:tc>
          <w:tcPr>
            <w:tcW w:w="1275" w:type="dxa"/>
          </w:tcPr>
          <w:p w14:paraId="51AD873A">
            <w:pPr>
              <w:jc w:val="center"/>
              <w:rPr>
                <w:color w:val="auto"/>
                <w:sz w:val="24"/>
                <w:szCs w:val="24"/>
              </w:rPr>
            </w:pPr>
            <w:r>
              <w:rPr>
                <w:rFonts w:hint="default"/>
                <w:color w:val="auto"/>
                <w:sz w:val="24"/>
                <w:szCs w:val="24"/>
                <w:lang w:val="en-US"/>
              </w:rPr>
              <w:t>Tháng 12/</w:t>
            </w:r>
            <w:r>
              <w:rPr>
                <w:color w:val="auto"/>
                <w:sz w:val="24"/>
                <w:szCs w:val="24"/>
              </w:rPr>
              <w:t>2027</w:t>
            </w:r>
          </w:p>
        </w:tc>
        <w:tc>
          <w:tcPr>
            <w:tcW w:w="1245" w:type="dxa"/>
            <w:shd w:val="clear" w:color="auto" w:fill="auto"/>
            <w:vAlign w:val="top"/>
          </w:tcPr>
          <w:p w14:paraId="29A1689A">
            <w:pPr>
              <w:jc w:val="center"/>
              <w:rPr>
                <w:color w:val="auto"/>
                <w:sz w:val="24"/>
                <w:szCs w:val="24"/>
              </w:rPr>
            </w:pPr>
            <w:r>
              <w:rPr>
                <w:color w:val="auto"/>
                <w:sz w:val="24"/>
                <w:szCs w:val="24"/>
              </w:rPr>
              <w:t>Tiêu chí 5</w:t>
            </w:r>
          </w:p>
          <w:p w14:paraId="73AFB4D7">
            <w:pPr>
              <w:jc w:val="center"/>
              <w:rPr>
                <w:color w:val="auto"/>
                <w:sz w:val="24"/>
                <w:szCs w:val="24"/>
              </w:rPr>
            </w:pPr>
          </w:p>
        </w:tc>
        <w:tc>
          <w:tcPr>
            <w:tcW w:w="1308" w:type="dxa"/>
            <w:vMerge w:val="continue"/>
          </w:tcPr>
          <w:p w14:paraId="4AC7AACB">
            <w:pPr>
              <w:widowControl w:val="0"/>
              <w:spacing w:line="276" w:lineRule="auto"/>
              <w:rPr>
                <w:color w:val="auto"/>
                <w:sz w:val="24"/>
                <w:szCs w:val="24"/>
              </w:rPr>
            </w:pPr>
          </w:p>
        </w:tc>
        <w:tc>
          <w:tcPr>
            <w:tcW w:w="2410" w:type="dxa"/>
          </w:tcPr>
          <w:p w14:paraId="39852D04">
            <w:pPr>
              <w:ind w:firstLine="284"/>
              <w:jc w:val="both"/>
              <w:rPr>
                <w:rFonts w:hint="default"/>
                <w:color w:val="auto"/>
                <w:sz w:val="24"/>
                <w:szCs w:val="24"/>
                <w:lang w:val="en-US"/>
              </w:rPr>
            </w:pPr>
            <w:r>
              <w:rPr>
                <w:rFonts w:hint="default"/>
                <w:color w:val="auto"/>
                <w:sz w:val="24"/>
                <w:szCs w:val="24"/>
                <w:lang w:val="en-US"/>
              </w:rPr>
              <w:t xml:space="preserve"> </w:t>
            </w:r>
            <w:r>
              <w:rPr>
                <w:bCs/>
                <w:color w:val="auto"/>
                <w:sz w:val="24"/>
                <w:szCs w:val="24"/>
              </w:rPr>
              <w:t xml:space="preserve"> </w:t>
            </w:r>
            <w:r>
              <w:rPr>
                <w:color w:val="auto"/>
                <w:sz w:val="24"/>
                <w:szCs w:val="24"/>
              </w:rPr>
              <w:t>Nhất trí.</w:t>
            </w:r>
          </w:p>
          <w:p w14:paraId="0404CDBF">
            <w:pPr>
              <w:widowControl w:val="0"/>
              <w:spacing w:line="276" w:lineRule="auto"/>
              <w:ind w:firstLine="284"/>
              <w:jc w:val="both"/>
              <w:rPr>
                <w:color w:val="auto"/>
                <w:sz w:val="24"/>
                <w:szCs w:val="24"/>
              </w:rPr>
            </w:pPr>
          </w:p>
        </w:tc>
      </w:tr>
      <w:tr w14:paraId="641C1B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86" w:hRule="atLeast"/>
          <w:jc w:val="center"/>
        </w:trPr>
        <w:tc>
          <w:tcPr>
            <w:tcW w:w="704" w:type="dxa"/>
            <w:vMerge w:val="continue"/>
          </w:tcPr>
          <w:p w14:paraId="3CDA7AB0">
            <w:pPr>
              <w:widowControl w:val="0"/>
              <w:spacing w:line="276" w:lineRule="auto"/>
              <w:rPr>
                <w:color w:val="auto"/>
                <w:sz w:val="24"/>
                <w:szCs w:val="24"/>
              </w:rPr>
            </w:pPr>
          </w:p>
        </w:tc>
        <w:tc>
          <w:tcPr>
            <w:tcW w:w="1843" w:type="dxa"/>
            <w:vMerge w:val="continue"/>
          </w:tcPr>
          <w:p w14:paraId="3FFE8865">
            <w:pPr>
              <w:widowControl w:val="0"/>
              <w:spacing w:line="276" w:lineRule="auto"/>
              <w:rPr>
                <w:color w:val="auto"/>
                <w:sz w:val="24"/>
                <w:szCs w:val="24"/>
              </w:rPr>
            </w:pPr>
          </w:p>
        </w:tc>
        <w:tc>
          <w:tcPr>
            <w:tcW w:w="1417" w:type="dxa"/>
          </w:tcPr>
          <w:p w14:paraId="1A0ACFFD">
            <w:pPr>
              <w:spacing w:before="120"/>
              <w:jc w:val="both"/>
              <w:rPr>
                <w:color w:val="auto"/>
                <w:sz w:val="24"/>
                <w:szCs w:val="24"/>
              </w:rPr>
            </w:pPr>
            <w:r>
              <w:rPr>
                <w:color w:val="auto"/>
                <w:sz w:val="24"/>
                <w:szCs w:val="24"/>
              </w:rPr>
              <w:t>Tình hình thực tiễn</w:t>
            </w:r>
          </w:p>
        </w:tc>
        <w:tc>
          <w:tcPr>
            <w:tcW w:w="4051" w:type="dxa"/>
          </w:tcPr>
          <w:p w14:paraId="4A1C0BBE">
            <w:pPr>
              <w:spacing w:after="120"/>
              <w:ind w:right="134"/>
              <w:jc w:val="both"/>
              <w:rPr>
                <w:color w:val="auto"/>
                <w:sz w:val="24"/>
                <w:szCs w:val="24"/>
              </w:rPr>
            </w:pPr>
            <w:r>
              <w:rPr>
                <w:color w:val="auto"/>
                <w:sz w:val="24"/>
                <w:szCs w:val="24"/>
              </w:rPr>
              <w:t>điểm b3 khoản 3 Điều 7, khoản 4 Điều 16 vướng mắc về tổ chức và hoạt động của Quỹ phát triển khoa học, công nghệ và đổi mới sáng tạo của Bộ, cơ quan ngang Bộ, cơ quan thuộc Chính phủ, cơ quan khác ở trung ương, Ủy ban nhân dân cấp tỉnh</w:t>
            </w:r>
          </w:p>
          <w:p w14:paraId="44863AFE">
            <w:pPr>
              <w:spacing w:after="120"/>
              <w:ind w:right="134"/>
              <w:jc w:val="both"/>
              <w:rPr>
                <w:color w:val="auto"/>
                <w:sz w:val="24"/>
                <w:szCs w:val="24"/>
              </w:rPr>
            </w:pPr>
            <w:r>
              <w:rPr>
                <w:color w:val="auto"/>
                <w:sz w:val="24"/>
                <w:szCs w:val="24"/>
              </w:rPr>
              <w:t>Chưa có quy định hỗ trợ hoạt động nâng cao năng lực khoa học và công nghệ trong nội dung phân bổ dự toán chi sự nghiệp cho hoạt động khoa học, công nghệ và đổi mới sáng tạo để có thể triển khai tại các Quỹ phát triển khoa học, công nghệ và đổi mới sáng tạo của Bộ, cơ quan ngang Bộ, cơ quan thuộc Chính phủ, cơ quan khác ở trung ương, Ủy ban nhân dân cấp tỉnh.</w:t>
            </w:r>
          </w:p>
        </w:tc>
        <w:tc>
          <w:tcPr>
            <w:tcW w:w="1394" w:type="dxa"/>
          </w:tcPr>
          <w:p w14:paraId="6334BDCE">
            <w:pPr>
              <w:jc w:val="center"/>
              <w:rPr>
                <w:color w:val="auto"/>
                <w:sz w:val="24"/>
                <w:szCs w:val="24"/>
              </w:rPr>
            </w:pPr>
            <w:r>
              <w:rPr>
                <w:color w:val="auto"/>
                <w:sz w:val="24"/>
                <w:szCs w:val="24"/>
              </w:rPr>
              <w:t>sửa đổi, bổ sung</w:t>
            </w:r>
          </w:p>
        </w:tc>
        <w:tc>
          <w:tcPr>
            <w:tcW w:w="1275" w:type="dxa"/>
          </w:tcPr>
          <w:p w14:paraId="2838422B">
            <w:pPr>
              <w:jc w:val="center"/>
              <w:rPr>
                <w:color w:val="auto"/>
                <w:sz w:val="24"/>
                <w:szCs w:val="24"/>
              </w:rPr>
            </w:pPr>
            <w:r>
              <w:rPr>
                <w:rFonts w:hint="default"/>
                <w:color w:val="auto"/>
                <w:sz w:val="24"/>
                <w:szCs w:val="24"/>
                <w:lang w:val="en-US"/>
              </w:rPr>
              <w:t>Tháng 12/</w:t>
            </w:r>
            <w:r>
              <w:rPr>
                <w:color w:val="auto"/>
                <w:sz w:val="24"/>
                <w:szCs w:val="24"/>
              </w:rPr>
              <w:t>2027</w:t>
            </w:r>
          </w:p>
        </w:tc>
        <w:tc>
          <w:tcPr>
            <w:tcW w:w="1245" w:type="dxa"/>
          </w:tcPr>
          <w:p w14:paraId="1C4651E9">
            <w:pPr>
              <w:jc w:val="center"/>
              <w:rPr>
                <w:color w:val="auto"/>
                <w:sz w:val="24"/>
                <w:szCs w:val="24"/>
              </w:rPr>
            </w:pPr>
            <w:r>
              <w:rPr>
                <w:color w:val="auto"/>
                <w:sz w:val="24"/>
                <w:szCs w:val="24"/>
              </w:rPr>
              <w:t>Tiêu chí 6</w:t>
            </w:r>
          </w:p>
        </w:tc>
        <w:tc>
          <w:tcPr>
            <w:tcW w:w="1308" w:type="dxa"/>
            <w:vMerge w:val="continue"/>
          </w:tcPr>
          <w:p w14:paraId="204CC408">
            <w:pPr>
              <w:widowControl w:val="0"/>
              <w:spacing w:line="276" w:lineRule="auto"/>
              <w:rPr>
                <w:color w:val="auto"/>
                <w:sz w:val="24"/>
                <w:szCs w:val="24"/>
              </w:rPr>
            </w:pPr>
          </w:p>
        </w:tc>
        <w:tc>
          <w:tcPr>
            <w:tcW w:w="2410" w:type="dxa"/>
          </w:tcPr>
          <w:p w14:paraId="38279229">
            <w:pPr>
              <w:widowControl w:val="0"/>
              <w:spacing w:line="276" w:lineRule="auto"/>
              <w:ind w:firstLine="284"/>
              <w:jc w:val="both"/>
              <w:rPr>
                <w:color w:val="auto"/>
                <w:sz w:val="24"/>
                <w:szCs w:val="24"/>
              </w:rPr>
            </w:pPr>
            <w:r>
              <w:rPr>
                <w:color w:val="auto"/>
                <w:sz w:val="24"/>
                <w:szCs w:val="24"/>
              </w:rPr>
              <w:t>Nhất trí.</w:t>
            </w:r>
          </w:p>
        </w:tc>
      </w:tr>
      <w:tr w14:paraId="562D67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69" w:hRule="atLeast"/>
          <w:jc w:val="center"/>
        </w:trPr>
        <w:tc>
          <w:tcPr>
            <w:tcW w:w="704" w:type="dxa"/>
            <w:vMerge w:val="continue"/>
          </w:tcPr>
          <w:p w14:paraId="3EDDB92E">
            <w:pPr>
              <w:widowControl w:val="0"/>
              <w:spacing w:line="276" w:lineRule="auto"/>
              <w:rPr>
                <w:color w:val="auto"/>
                <w:sz w:val="24"/>
                <w:szCs w:val="24"/>
              </w:rPr>
            </w:pPr>
          </w:p>
        </w:tc>
        <w:tc>
          <w:tcPr>
            <w:tcW w:w="1843" w:type="dxa"/>
            <w:vMerge w:val="continue"/>
          </w:tcPr>
          <w:p w14:paraId="58798C31">
            <w:pPr>
              <w:widowControl w:val="0"/>
              <w:spacing w:line="276" w:lineRule="auto"/>
              <w:rPr>
                <w:color w:val="auto"/>
                <w:sz w:val="24"/>
                <w:szCs w:val="24"/>
              </w:rPr>
            </w:pPr>
          </w:p>
        </w:tc>
        <w:tc>
          <w:tcPr>
            <w:tcW w:w="1417" w:type="dxa"/>
          </w:tcPr>
          <w:p w14:paraId="0AD7719C">
            <w:pPr>
              <w:spacing w:before="120"/>
              <w:jc w:val="both"/>
              <w:rPr>
                <w:color w:val="auto"/>
                <w:sz w:val="24"/>
                <w:szCs w:val="24"/>
              </w:rPr>
            </w:pPr>
            <w:r>
              <w:rPr>
                <w:color w:val="auto"/>
                <w:sz w:val="24"/>
                <w:szCs w:val="24"/>
              </w:rPr>
              <w:t>Tình hình thực tiễn</w:t>
            </w:r>
          </w:p>
        </w:tc>
        <w:tc>
          <w:tcPr>
            <w:tcW w:w="4051" w:type="dxa"/>
          </w:tcPr>
          <w:p w14:paraId="4E059C9E">
            <w:pPr>
              <w:spacing w:after="120"/>
              <w:ind w:right="134"/>
              <w:jc w:val="both"/>
              <w:rPr>
                <w:color w:val="auto"/>
                <w:sz w:val="24"/>
                <w:szCs w:val="24"/>
              </w:rPr>
            </w:pPr>
            <w:r>
              <w:rPr>
                <w:color w:val="auto"/>
                <w:sz w:val="24"/>
                <w:szCs w:val="24"/>
              </w:rPr>
              <w:t>Nghị định 265/2025/NĐ-CP không quy định về xử lý rủi ro cho hoạt động của Quỹ bộ, ngành, địa phương.</w:t>
            </w:r>
          </w:p>
        </w:tc>
        <w:tc>
          <w:tcPr>
            <w:tcW w:w="1394" w:type="dxa"/>
          </w:tcPr>
          <w:p w14:paraId="0F4B2FE1">
            <w:pPr>
              <w:jc w:val="center"/>
              <w:rPr>
                <w:color w:val="auto"/>
                <w:sz w:val="24"/>
                <w:szCs w:val="24"/>
              </w:rPr>
            </w:pPr>
            <w:r>
              <w:rPr>
                <w:color w:val="auto"/>
                <w:sz w:val="24"/>
                <w:szCs w:val="24"/>
              </w:rPr>
              <w:t>sửa đổi, bổ sung</w:t>
            </w:r>
          </w:p>
        </w:tc>
        <w:tc>
          <w:tcPr>
            <w:tcW w:w="1275" w:type="dxa"/>
          </w:tcPr>
          <w:p w14:paraId="10661763">
            <w:pPr>
              <w:jc w:val="center"/>
              <w:rPr>
                <w:color w:val="auto"/>
                <w:sz w:val="24"/>
                <w:szCs w:val="24"/>
              </w:rPr>
            </w:pPr>
            <w:r>
              <w:rPr>
                <w:rFonts w:hint="default"/>
                <w:color w:val="auto"/>
                <w:sz w:val="24"/>
                <w:szCs w:val="24"/>
                <w:lang w:val="en-US"/>
              </w:rPr>
              <w:t>Tháng 12/</w:t>
            </w:r>
            <w:r>
              <w:rPr>
                <w:color w:val="auto"/>
                <w:sz w:val="24"/>
                <w:szCs w:val="24"/>
              </w:rPr>
              <w:t>2027</w:t>
            </w:r>
          </w:p>
        </w:tc>
        <w:tc>
          <w:tcPr>
            <w:tcW w:w="1245" w:type="dxa"/>
          </w:tcPr>
          <w:p w14:paraId="27508463">
            <w:pPr>
              <w:jc w:val="center"/>
              <w:rPr>
                <w:color w:val="auto"/>
                <w:sz w:val="24"/>
                <w:szCs w:val="24"/>
              </w:rPr>
            </w:pPr>
            <w:r>
              <w:rPr>
                <w:color w:val="auto"/>
                <w:sz w:val="24"/>
                <w:szCs w:val="24"/>
              </w:rPr>
              <w:t>Tiêu chí 6</w:t>
            </w:r>
          </w:p>
        </w:tc>
        <w:tc>
          <w:tcPr>
            <w:tcW w:w="1308" w:type="dxa"/>
            <w:vMerge w:val="continue"/>
          </w:tcPr>
          <w:p w14:paraId="1ABADF57">
            <w:pPr>
              <w:widowControl w:val="0"/>
              <w:spacing w:line="276" w:lineRule="auto"/>
              <w:rPr>
                <w:color w:val="auto"/>
                <w:sz w:val="24"/>
                <w:szCs w:val="24"/>
              </w:rPr>
            </w:pPr>
          </w:p>
        </w:tc>
        <w:tc>
          <w:tcPr>
            <w:tcW w:w="2410" w:type="dxa"/>
          </w:tcPr>
          <w:p w14:paraId="682025C3">
            <w:pPr>
              <w:widowControl w:val="0"/>
              <w:spacing w:line="276" w:lineRule="auto"/>
              <w:ind w:firstLine="284"/>
              <w:jc w:val="both"/>
              <w:rPr>
                <w:color w:val="auto"/>
                <w:sz w:val="24"/>
                <w:szCs w:val="24"/>
              </w:rPr>
            </w:pPr>
            <w:r>
              <w:rPr>
                <w:color w:val="auto"/>
                <w:sz w:val="24"/>
                <w:szCs w:val="24"/>
              </w:rPr>
              <w:t>Nhất trí</w:t>
            </w:r>
          </w:p>
        </w:tc>
      </w:tr>
      <w:tr w14:paraId="0FBA35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18" w:hRule="atLeast"/>
          <w:jc w:val="center"/>
        </w:trPr>
        <w:tc>
          <w:tcPr>
            <w:tcW w:w="704" w:type="dxa"/>
            <w:vMerge w:val="continue"/>
          </w:tcPr>
          <w:p w14:paraId="5335B001">
            <w:pPr>
              <w:widowControl w:val="0"/>
              <w:spacing w:line="276" w:lineRule="auto"/>
              <w:rPr>
                <w:color w:val="auto"/>
                <w:sz w:val="24"/>
                <w:szCs w:val="24"/>
              </w:rPr>
            </w:pPr>
          </w:p>
        </w:tc>
        <w:tc>
          <w:tcPr>
            <w:tcW w:w="1843" w:type="dxa"/>
            <w:vMerge w:val="continue"/>
          </w:tcPr>
          <w:p w14:paraId="3A4F77E7">
            <w:pPr>
              <w:widowControl w:val="0"/>
              <w:spacing w:line="276" w:lineRule="auto"/>
              <w:rPr>
                <w:color w:val="auto"/>
                <w:sz w:val="24"/>
                <w:szCs w:val="24"/>
              </w:rPr>
            </w:pPr>
          </w:p>
        </w:tc>
        <w:tc>
          <w:tcPr>
            <w:tcW w:w="1417" w:type="dxa"/>
          </w:tcPr>
          <w:p w14:paraId="16A0984A">
            <w:pPr>
              <w:spacing w:before="120"/>
              <w:jc w:val="both"/>
              <w:rPr>
                <w:color w:val="auto"/>
                <w:sz w:val="24"/>
                <w:szCs w:val="24"/>
              </w:rPr>
            </w:pPr>
            <w:r>
              <w:rPr>
                <w:color w:val="auto"/>
                <w:sz w:val="24"/>
                <w:szCs w:val="24"/>
              </w:rPr>
              <w:t>Tình hình thực tiễn</w:t>
            </w:r>
          </w:p>
        </w:tc>
        <w:tc>
          <w:tcPr>
            <w:tcW w:w="4051" w:type="dxa"/>
          </w:tcPr>
          <w:p w14:paraId="3C6F7DC0">
            <w:pPr>
              <w:jc w:val="both"/>
              <w:rPr>
                <w:color w:val="auto"/>
                <w:sz w:val="24"/>
                <w:szCs w:val="24"/>
              </w:rPr>
            </w:pPr>
            <w:r>
              <w:rPr>
                <w:color w:val="auto"/>
                <w:sz w:val="24"/>
                <w:szCs w:val="24"/>
              </w:rPr>
              <w:t>Khoản 6 Điều 10 quy định “Đối với khoán chi từng phần theo nội dung nghiên cứu, tổ chức chủ trì thực hiện nhiệm vụ khoa học, công nghệ và đổi mới sáng tạo được điều chỉnh trong từng nội dung chi quy định tại khoản 1, khoản 2 và khoản 4 Điều 6 của Nghị định này, được quyết định việc sử dụng kinh phí từ công lao động để thuê chuyên gia trong và ngoài nước theo mức kinh phí thỏa thuận.”</w:t>
            </w:r>
            <w:r>
              <w:rPr>
                <w:color w:val="auto"/>
                <w:sz w:val="24"/>
                <w:szCs w:val="24"/>
              </w:rPr>
              <w:br w:type="textWrapping"/>
            </w:r>
            <w:r>
              <w:rPr>
                <w:color w:val="auto"/>
                <w:sz w:val="24"/>
                <w:szCs w:val="24"/>
              </w:rPr>
              <w:t>Nội dung cho phép điều chỉnh tại khoản 6 nên được mở trong toàn bộ phần kinh phí được khoán chi, ngoài ra, khoản 6 chưa quy định rõ cơ sở để đánh giá kết quả khi kết thúc và thanh quyết toán nhiệm vụ khoa học, công nghệ và đổi mới sáng tạo trong trường hợp khoán chi từng phần.</w:t>
            </w:r>
          </w:p>
        </w:tc>
        <w:tc>
          <w:tcPr>
            <w:tcW w:w="1394" w:type="dxa"/>
          </w:tcPr>
          <w:p w14:paraId="42748046">
            <w:pPr>
              <w:jc w:val="center"/>
              <w:rPr>
                <w:color w:val="auto"/>
                <w:sz w:val="24"/>
                <w:szCs w:val="24"/>
              </w:rPr>
            </w:pPr>
            <w:r>
              <w:rPr>
                <w:color w:val="auto"/>
                <w:sz w:val="24"/>
                <w:szCs w:val="24"/>
              </w:rPr>
              <w:t>sửa đổi, bổ sung</w:t>
            </w:r>
          </w:p>
        </w:tc>
        <w:tc>
          <w:tcPr>
            <w:tcW w:w="1275" w:type="dxa"/>
          </w:tcPr>
          <w:p w14:paraId="363BC6D0">
            <w:pPr>
              <w:jc w:val="center"/>
              <w:rPr>
                <w:color w:val="auto"/>
                <w:sz w:val="24"/>
                <w:szCs w:val="24"/>
              </w:rPr>
            </w:pPr>
            <w:r>
              <w:rPr>
                <w:rFonts w:hint="default"/>
                <w:color w:val="auto"/>
                <w:sz w:val="24"/>
                <w:szCs w:val="24"/>
                <w:lang w:val="en-US"/>
              </w:rPr>
              <w:t>Tháng 12/</w:t>
            </w:r>
            <w:r>
              <w:rPr>
                <w:color w:val="auto"/>
                <w:sz w:val="24"/>
                <w:szCs w:val="24"/>
              </w:rPr>
              <w:t>2027</w:t>
            </w:r>
          </w:p>
        </w:tc>
        <w:tc>
          <w:tcPr>
            <w:tcW w:w="1245" w:type="dxa"/>
          </w:tcPr>
          <w:p w14:paraId="50C0D992">
            <w:pPr>
              <w:jc w:val="center"/>
              <w:rPr>
                <w:color w:val="auto"/>
                <w:sz w:val="24"/>
                <w:szCs w:val="24"/>
              </w:rPr>
            </w:pPr>
            <w:r>
              <w:rPr>
                <w:color w:val="auto"/>
                <w:sz w:val="24"/>
                <w:szCs w:val="24"/>
              </w:rPr>
              <w:t>Tiêu chí 5</w:t>
            </w:r>
          </w:p>
        </w:tc>
        <w:tc>
          <w:tcPr>
            <w:tcW w:w="1308" w:type="dxa"/>
            <w:vMerge w:val="continue"/>
          </w:tcPr>
          <w:p w14:paraId="20C89CDF">
            <w:pPr>
              <w:widowControl w:val="0"/>
              <w:spacing w:line="276" w:lineRule="auto"/>
              <w:rPr>
                <w:color w:val="auto"/>
                <w:sz w:val="24"/>
                <w:szCs w:val="24"/>
              </w:rPr>
            </w:pPr>
          </w:p>
        </w:tc>
        <w:tc>
          <w:tcPr>
            <w:tcW w:w="2410" w:type="dxa"/>
          </w:tcPr>
          <w:p w14:paraId="4ED8FDBB">
            <w:pPr>
              <w:widowControl w:val="0"/>
              <w:spacing w:line="276" w:lineRule="auto"/>
              <w:ind w:firstLine="284"/>
              <w:jc w:val="both"/>
              <w:rPr>
                <w:color w:val="auto"/>
                <w:sz w:val="24"/>
                <w:szCs w:val="24"/>
              </w:rPr>
            </w:pPr>
            <w:r>
              <w:rPr>
                <w:color w:val="auto"/>
                <w:sz w:val="24"/>
                <w:szCs w:val="24"/>
              </w:rPr>
              <w:t>Nhất trí</w:t>
            </w:r>
          </w:p>
          <w:p w14:paraId="37042FF6">
            <w:pPr>
              <w:widowControl w:val="0"/>
              <w:spacing w:line="276" w:lineRule="auto"/>
              <w:ind w:firstLine="284"/>
              <w:jc w:val="both"/>
              <w:rPr>
                <w:color w:val="auto"/>
                <w:sz w:val="24"/>
                <w:szCs w:val="24"/>
              </w:rPr>
            </w:pPr>
            <w:r>
              <w:rPr>
                <w:rFonts w:hint="default"/>
                <w:color w:val="auto"/>
                <w:sz w:val="24"/>
                <w:szCs w:val="24"/>
                <w:lang w:val="en-US"/>
              </w:rPr>
              <w:t xml:space="preserve"> </w:t>
            </w:r>
          </w:p>
        </w:tc>
      </w:tr>
      <w:tr w14:paraId="7E0C3E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653" w:hRule="atLeast"/>
          <w:jc w:val="center"/>
        </w:trPr>
        <w:tc>
          <w:tcPr>
            <w:tcW w:w="704" w:type="dxa"/>
            <w:vMerge w:val="continue"/>
          </w:tcPr>
          <w:p w14:paraId="28543549">
            <w:pPr>
              <w:widowControl w:val="0"/>
              <w:spacing w:line="276" w:lineRule="auto"/>
              <w:rPr>
                <w:color w:val="auto"/>
                <w:sz w:val="24"/>
                <w:szCs w:val="24"/>
              </w:rPr>
            </w:pPr>
          </w:p>
        </w:tc>
        <w:tc>
          <w:tcPr>
            <w:tcW w:w="1843" w:type="dxa"/>
            <w:vMerge w:val="continue"/>
          </w:tcPr>
          <w:p w14:paraId="4E4CF665">
            <w:pPr>
              <w:widowControl w:val="0"/>
              <w:spacing w:line="276" w:lineRule="auto"/>
              <w:rPr>
                <w:color w:val="auto"/>
                <w:sz w:val="24"/>
                <w:szCs w:val="24"/>
              </w:rPr>
            </w:pPr>
          </w:p>
        </w:tc>
        <w:tc>
          <w:tcPr>
            <w:tcW w:w="1417" w:type="dxa"/>
          </w:tcPr>
          <w:p w14:paraId="0577E58E">
            <w:pPr>
              <w:spacing w:before="120"/>
              <w:jc w:val="both"/>
              <w:rPr>
                <w:color w:val="auto"/>
                <w:sz w:val="24"/>
                <w:szCs w:val="24"/>
              </w:rPr>
            </w:pPr>
            <w:r>
              <w:rPr>
                <w:color w:val="auto"/>
                <w:sz w:val="24"/>
                <w:szCs w:val="24"/>
              </w:rPr>
              <w:t>Tình hình thực tiễn</w:t>
            </w:r>
          </w:p>
        </w:tc>
        <w:tc>
          <w:tcPr>
            <w:tcW w:w="4051" w:type="dxa"/>
          </w:tcPr>
          <w:p w14:paraId="5BACDCC0">
            <w:pPr>
              <w:jc w:val="both"/>
              <w:rPr>
                <w:color w:val="auto"/>
                <w:sz w:val="24"/>
                <w:szCs w:val="24"/>
              </w:rPr>
            </w:pPr>
            <w:r>
              <w:rPr>
                <w:color w:val="auto"/>
                <w:sz w:val="24"/>
                <w:szCs w:val="24"/>
              </w:rPr>
              <w:t>Điều 11 quy định trường hợp nhiệm vụ không đạt mục tiêu nhưng đã thực hiện đúng quy trình, đúng nội dung và biện pháp phòng ngừa rủi ro thì không phải hoàn trả phần kinh phí đã sử dụng đúng mục tiêu. Nghị định 267 lại quy định về rủi ro được chấp nhận trong nghiên cứu, phát triển công nghệ và đổi mới sáng tạo. Tuy nhiên, hai nghị định chưa thiết kế một quy trình thống nhất để xác định “rủi ro được chấp nhận”, hậu quả tài chính, hậu quả nghiệm thu và trách nhiệm pháp lý. Nếu thiếu quy trình, cơ quan quản lý vẫn e ngại khi xác nhận thất bại hợp lý.</w:t>
            </w:r>
          </w:p>
        </w:tc>
        <w:tc>
          <w:tcPr>
            <w:tcW w:w="1394" w:type="dxa"/>
          </w:tcPr>
          <w:p w14:paraId="7E8C101F">
            <w:pPr>
              <w:jc w:val="center"/>
              <w:rPr>
                <w:color w:val="auto"/>
                <w:sz w:val="24"/>
                <w:szCs w:val="24"/>
              </w:rPr>
            </w:pPr>
            <w:r>
              <w:rPr>
                <w:color w:val="auto"/>
                <w:sz w:val="24"/>
                <w:szCs w:val="24"/>
              </w:rPr>
              <w:t>sửa đổi, bổ sung</w:t>
            </w:r>
          </w:p>
        </w:tc>
        <w:tc>
          <w:tcPr>
            <w:tcW w:w="1275" w:type="dxa"/>
          </w:tcPr>
          <w:p w14:paraId="6EF0A9E2">
            <w:pPr>
              <w:jc w:val="center"/>
              <w:rPr>
                <w:color w:val="auto"/>
                <w:sz w:val="24"/>
                <w:szCs w:val="24"/>
              </w:rPr>
            </w:pPr>
            <w:r>
              <w:rPr>
                <w:rFonts w:hint="default"/>
                <w:color w:val="auto"/>
                <w:sz w:val="24"/>
                <w:szCs w:val="24"/>
                <w:lang w:val="en-US"/>
              </w:rPr>
              <w:t>Tháng 12/</w:t>
            </w:r>
            <w:r>
              <w:rPr>
                <w:color w:val="auto"/>
                <w:sz w:val="24"/>
                <w:szCs w:val="24"/>
              </w:rPr>
              <w:t>2027</w:t>
            </w:r>
          </w:p>
        </w:tc>
        <w:tc>
          <w:tcPr>
            <w:tcW w:w="1245" w:type="dxa"/>
          </w:tcPr>
          <w:p w14:paraId="71900C13">
            <w:pPr>
              <w:jc w:val="center"/>
              <w:rPr>
                <w:color w:val="auto"/>
                <w:sz w:val="24"/>
                <w:szCs w:val="24"/>
              </w:rPr>
            </w:pPr>
            <w:r>
              <w:rPr>
                <w:color w:val="auto"/>
                <w:sz w:val="24"/>
                <w:szCs w:val="24"/>
              </w:rPr>
              <w:t>Tiêu chí 5</w:t>
            </w:r>
          </w:p>
        </w:tc>
        <w:tc>
          <w:tcPr>
            <w:tcW w:w="1308" w:type="dxa"/>
            <w:vMerge w:val="continue"/>
          </w:tcPr>
          <w:p w14:paraId="7B110540">
            <w:pPr>
              <w:widowControl w:val="0"/>
              <w:spacing w:line="276" w:lineRule="auto"/>
              <w:rPr>
                <w:color w:val="auto"/>
                <w:sz w:val="24"/>
                <w:szCs w:val="24"/>
              </w:rPr>
            </w:pPr>
          </w:p>
        </w:tc>
        <w:tc>
          <w:tcPr>
            <w:tcW w:w="2410" w:type="dxa"/>
          </w:tcPr>
          <w:p w14:paraId="46991E42">
            <w:pPr>
              <w:widowControl w:val="0"/>
              <w:spacing w:line="276" w:lineRule="auto"/>
              <w:ind w:firstLine="284"/>
              <w:jc w:val="both"/>
              <w:rPr>
                <w:color w:val="auto"/>
                <w:sz w:val="24"/>
                <w:szCs w:val="24"/>
              </w:rPr>
            </w:pPr>
            <w:r>
              <w:rPr>
                <w:color w:val="auto"/>
                <w:sz w:val="24"/>
                <w:szCs w:val="24"/>
              </w:rPr>
              <w:t>Nhất trí.</w:t>
            </w:r>
          </w:p>
        </w:tc>
      </w:tr>
      <w:tr w14:paraId="40F3EF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34" w:hRule="atLeast"/>
          <w:jc w:val="center"/>
        </w:trPr>
        <w:tc>
          <w:tcPr>
            <w:tcW w:w="704" w:type="dxa"/>
            <w:vMerge w:val="continue"/>
          </w:tcPr>
          <w:p w14:paraId="319C2E10">
            <w:pPr>
              <w:widowControl w:val="0"/>
              <w:spacing w:line="276" w:lineRule="auto"/>
              <w:rPr>
                <w:color w:val="auto"/>
                <w:sz w:val="24"/>
                <w:szCs w:val="24"/>
              </w:rPr>
            </w:pPr>
          </w:p>
        </w:tc>
        <w:tc>
          <w:tcPr>
            <w:tcW w:w="1843" w:type="dxa"/>
            <w:vMerge w:val="continue"/>
          </w:tcPr>
          <w:p w14:paraId="7EA5B32D">
            <w:pPr>
              <w:widowControl w:val="0"/>
              <w:spacing w:line="276" w:lineRule="auto"/>
              <w:rPr>
                <w:color w:val="auto"/>
                <w:sz w:val="24"/>
                <w:szCs w:val="24"/>
              </w:rPr>
            </w:pPr>
          </w:p>
        </w:tc>
        <w:tc>
          <w:tcPr>
            <w:tcW w:w="1417" w:type="dxa"/>
          </w:tcPr>
          <w:p w14:paraId="5DF42C99">
            <w:pPr>
              <w:spacing w:before="120"/>
              <w:jc w:val="both"/>
              <w:rPr>
                <w:color w:val="auto"/>
                <w:sz w:val="24"/>
                <w:szCs w:val="24"/>
              </w:rPr>
            </w:pPr>
            <w:r>
              <w:rPr>
                <w:color w:val="auto"/>
                <w:sz w:val="24"/>
                <w:szCs w:val="24"/>
              </w:rPr>
              <w:t>Tình hình thực tiễn</w:t>
            </w:r>
          </w:p>
        </w:tc>
        <w:tc>
          <w:tcPr>
            <w:tcW w:w="4051" w:type="dxa"/>
          </w:tcPr>
          <w:p w14:paraId="3B17F120">
            <w:pPr>
              <w:rPr>
                <w:color w:val="auto"/>
                <w:sz w:val="24"/>
                <w:szCs w:val="24"/>
              </w:rPr>
            </w:pPr>
            <w:r>
              <w:rPr>
                <w:color w:val="auto"/>
                <w:sz w:val="24"/>
                <w:szCs w:val="24"/>
              </w:rPr>
              <w:t xml:space="preserve">Điểm c Khoản 2 Điều 17 </w:t>
            </w:r>
            <w:r>
              <w:rPr>
                <w:rFonts w:hint="default"/>
                <w:color w:val="auto"/>
                <w:sz w:val="24"/>
                <w:szCs w:val="24"/>
                <w:lang w:val="en-US"/>
              </w:rPr>
              <w:t xml:space="preserve">trích dẫn chưa chính xác quy định ở khoản 1. Hiện đang </w:t>
            </w:r>
            <w:r>
              <w:rPr>
                <w:color w:val="auto"/>
                <w:sz w:val="24"/>
                <w:szCs w:val="24"/>
              </w:rPr>
              <w:t>quy định “Kiểm tra hồ sơ, chứng từ thanh toán theo quy định tại điểm d khoản 1 Điều này và lập chứng từ chuyển tiền gửi Kho bạc Nhà nước nơi mở tài khoản để thanh toán tiền từ tài khoản tiền gửi của quỹ cho tổ chức chủ trì nhiệm vụ khoa học, công nghệ và đổi mới sáng tạo”</w:t>
            </w:r>
            <w:r>
              <w:rPr>
                <w:rFonts w:hint="default"/>
                <w:color w:val="auto"/>
                <w:sz w:val="24"/>
                <w:szCs w:val="24"/>
                <w:lang w:val="en-US"/>
              </w:rPr>
              <w:t>, cần</w:t>
            </w:r>
            <w:r>
              <w:rPr>
                <w:color w:val="auto"/>
                <w:sz w:val="24"/>
                <w:szCs w:val="24"/>
              </w:rPr>
              <w:t xml:space="preserve"> sửa thành “Kiểm tra hồ sơ, chứng từ thanh toán theo quy định tại điểm c khoản 1 Điều này và lập chứng từ chuyển tiền gửi Kho bạc Nhà nước nơi mở tài khoản để thanh toán tiền từ tài khoản tiền gửi của quỹ cho tổ chức chủ trì nhiệm vụ khoa học, công nghệ và đổi mới sáng tạo”</w:t>
            </w:r>
          </w:p>
        </w:tc>
        <w:tc>
          <w:tcPr>
            <w:tcW w:w="1394" w:type="dxa"/>
          </w:tcPr>
          <w:p w14:paraId="306988A9">
            <w:pPr>
              <w:jc w:val="center"/>
              <w:rPr>
                <w:color w:val="auto"/>
                <w:sz w:val="24"/>
                <w:szCs w:val="24"/>
              </w:rPr>
            </w:pPr>
            <w:r>
              <w:rPr>
                <w:color w:val="auto"/>
                <w:sz w:val="24"/>
                <w:szCs w:val="24"/>
              </w:rPr>
              <w:t>sửa đổi, bổ sung</w:t>
            </w:r>
          </w:p>
        </w:tc>
        <w:tc>
          <w:tcPr>
            <w:tcW w:w="1275" w:type="dxa"/>
          </w:tcPr>
          <w:p w14:paraId="312F79F9">
            <w:pPr>
              <w:jc w:val="center"/>
              <w:rPr>
                <w:color w:val="auto"/>
                <w:sz w:val="24"/>
                <w:szCs w:val="24"/>
              </w:rPr>
            </w:pPr>
            <w:r>
              <w:rPr>
                <w:rFonts w:hint="default"/>
                <w:color w:val="auto"/>
                <w:sz w:val="24"/>
                <w:szCs w:val="24"/>
                <w:lang w:val="en-US"/>
              </w:rPr>
              <w:t>Tháng 12/</w:t>
            </w:r>
            <w:r>
              <w:rPr>
                <w:color w:val="auto"/>
                <w:sz w:val="24"/>
                <w:szCs w:val="24"/>
              </w:rPr>
              <w:t>2027</w:t>
            </w:r>
          </w:p>
        </w:tc>
        <w:tc>
          <w:tcPr>
            <w:tcW w:w="1245" w:type="dxa"/>
          </w:tcPr>
          <w:p w14:paraId="5B21420E">
            <w:pPr>
              <w:jc w:val="center"/>
              <w:rPr>
                <w:rFonts w:hint="default"/>
                <w:color w:val="auto"/>
                <w:sz w:val="24"/>
                <w:szCs w:val="24"/>
                <w:lang w:val="en-US"/>
              </w:rPr>
            </w:pPr>
            <w:r>
              <w:rPr>
                <w:color w:val="auto"/>
                <w:sz w:val="24"/>
                <w:szCs w:val="24"/>
              </w:rPr>
              <w:t>Tiêu chí</w:t>
            </w:r>
            <w:r>
              <w:rPr>
                <w:rFonts w:hint="default"/>
                <w:color w:val="auto"/>
                <w:sz w:val="24"/>
                <w:szCs w:val="24"/>
                <w:lang w:val="en-US"/>
              </w:rPr>
              <w:t xml:space="preserve"> 2.3</w:t>
            </w:r>
          </w:p>
        </w:tc>
        <w:tc>
          <w:tcPr>
            <w:tcW w:w="1308" w:type="dxa"/>
            <w:vMerge w:val="continue"/>
          </w:tcPr>
          <w:p w14:paraId="4DD54DA8">
            <w:pPr>
              <w:widowControl w:val="0"/>
              <w:spacing w:line="276" w:lineRule="auto"/>
              <w:rPr>
                <w:color w:val="auto"/>
                <w:sz w:val="24"/>
                <w:szCs w:val="24"/>
              </w:rPr>
            </w:pPr>
          </w:p>
        </w:tc>
        <w:tc>
          <w:tcPr>
            <w:tcW w:w="2410" w:type="dxa"/>
          </w:tcPr>
          <w:p w14:paraId="62F4FC1A">
            <w:pPr>
              <w:widowControl w:val="0"/>
              <w:spacing w:line="276" w:lineRule="auto"/>
              <w:ind w:firstLine="284"/>
              <w:jc w:val="both"/>
              <w:rPr>
                <w:color w:val="auto"/>
                <w:sz w:val="24"/>
                <w:szCs w:val="24"/>
              </w:rPr>
            </w:pPr>
            <w:r>
              <w:rPr>
                <w:color w:val="auto"/>
                <w:sz w:val="24"/>
                <w:szCs w:val="24"/>
              </w:rPr>
              <w:t>Cần làm rõ, hoàn thiện thêm, phân tích chi tiết nội dung, quy định cụ thể cần xử lý.</w:t>
            </w:r>
          </w:p>
        </w:tc>
      </w:tr>
      <w:tr w14:paraId="646D45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653" w:hRule="atLeast"/>
          <w:jc w:val="center"/>
        </w:trPr>
        <w:tc>
          <w:tcPr>
            <w:tcW w:w="704" w:type="dxa"/>
            <w:vMerge w:val="continue"/>
          </w:tcPr>
          <w:p w14:paraId="37798C8B">
            <w:pPr>
              <w:widowControl w:val="0"/>
              <w:spacing w:line="276" w:lineRule="auto"/>
              <w:rPr>
                <w:color w:val="auto"/>
                <w:sz w:val="24"/>
                <w:szCs w:val="24"/>
              </w:rPr>
            </w:pPr>
          </w:p>
        </w:tc>
        <w:tc>
          <w:tcPr>
            <w:tcW w:w="1843" w:type="dxa"/>
            <w:vMerge w:val="continue"/>
          </w:tcPr>
          <w:p w14:paraId="550191E6">
            <w:pPr>
              <w:widowControl w:val="0"/>
              <w:spacing w:line="276" w:lineRule="auto"/>
              <w:rPr>
                <w:color w:val="auto"/>
                <w:sz w:val="24"/>
                <w:szCs w:val="24"/>
              </w:rPr>
            </w:pPr>
          </w:p>
        </w:tc>
        <w:tc>
          <w:tcPr>
            <w:tcW w:w="1417" w:type="dxa"/>
          </w:tcPr>
          <w:p w14:paraId="5E457CE5">
            <w:pPr>
              <w:spacing w:before="120"/>
              <w:jc w:val="both"/>
              <w:rPr>
                <w:color w:val="auto"/>
                <w:sz w:val="24"/>
                <w:szCs w:val="24"/>
              </w:rPr>
            </w:pPr>
            <w:r>
              <w:rPr>
                <w:color w:val="auto"/>
                <w:sz w:val="24"/>
                <w:szCs w:val="24"/>
              </w:rPr>
              <w:t>Tình hình thực tiễn</w:t>
            </w:r>
          </w:p>
        </w:tc>
        <w:tc>
          <w:tcPr>
            <w:tcW w:w="4051" w:type="dxa"/>
          </w:tcPr>
          <w:p w14:paraId="4FA1F6D0">
            <w:pPr>
              <w:jc w:val="both"/>
              <w:rPr>
                <w:color w:val="auto"/>
                <w:sz w:val="24"/>
                <w:szCs w:val="24"/>
              </w:rPr>
            </w:pPr>
            <w:r>
              <w:rPr>
                <w:color w:val="auto"/>
                <w:sz w:val="24"/>
                <w:szCs w:val="24"/>
              </w:rPr>
              <w:t>Sửa Tiểu điểm a1 Điểm a Khoản 5 Điều 23 vì quy định “số liệu được Kho bạc Nhà nước nơi tổ chức, cá nhân mở tài khoản để nhận kinh phí thực hiện nhiệm vụ, hoạt động hỗ trợ xác nhận thực chi”: Quy định này không khả thi khi thực hiện vì Kho bạc nhà nước nơi tổ chức, cá nhân mở tài khoản để nhận kinh phí thực hiện nhiệm vụ, hoạt động hỗ trợ không xác nhận thực chi đến từng nhiệm vụ, hoạt động hỗ trợ.</w:t>
            </w:r>
            <w:r>
              <w:rPr>
                <w:color w:val="auto"/>
                <w:sz w:val="24"/>
                <w:szCs w:val="24"/>
              </w:rPr>
              <w:br w:type="textWrapping"/>
            </w:r>
            <w:r>
              <w:rPr>
                <w:color w:val="auto"/>
                <w:sz w:val="24"/>
                <w:szCs w:val="24"/>
              </w:rPr>
              <w:t>Quy định về số liệu được Kho bạc nhà nước xác nhận thực chi hàng năm của tổ chức chủ trì gây nhiều cách hiểu khác nhau, nếu là toàn bộ số kinh phí thực chi của tổ chức chủ trì trong năm thì phần lớn không phù hợp với kết quả đánh giá nhiệm vụ KH,CN và ĐMST của Quỹ (tại thời điểm cuối năm không thể cùng lúc hoàn thành đánh giá được toàn bộ các nhiệm vụ)</w:t>
            </w:r>
          </w:p>
        </w:tc>
        <w:tc>
          <w:tcPr>
            <w:tcW w:w="1394" w:type="dxa"/>
          </w:tcPr>
          <w:p w14:paraId="22EFA949">
            <w:pPr>
              <w:jc w:val="center"/>
              <w:rPr>
                <w:color w:val="auto"/>
                <w:sz w:val="24"/>
                <w:szCs w:val="24"/>
              </w:rPr>
            </w:pPr>
            <w:r>
              <w:rPr>
                <w:color w:val="auto"/>
                <w:sz w:val="24"/>
                <w:szCs w:val="24"/>
              </w:rPr>
              <w:t>sửa đổi, bổ sung</w:t>
            </w:r>
          </w:p>
        </w:tc>
        <w:tc>
          <w:tcPr>
            <w:tcW w:w="1275" w:type="dxa"/>
          </w:tcPr>
          <w:p w14:paraId="72BB271C">
            <w:pPr>
              <w:jc w:val="center"/>
              <w:rPr>
                <w:color w:val="auto"/>
                <w:sz w:val="24"/>
                <w:szCs w:val="24"/>
              </w:rPr>
            </w:pPr>
            <w:r>
              <w:rPr>
                <w:rFonts w:hint="default"/>
                <w:color w:val="auto"/>
                <w:sz w:val="24"/>
                <w:szCs w:val="24"/>
                <w:lang w:val="en-US"/>
              </w:rPr>
              <w:t>Tháng 12/</w:t>
            </w:r>
            <w:r>
              <w:rPr>
                <w:color w:val="auto"/>
                <w:sz w:val="24"/>
                <w:szCs w:val="24"/>
              </w:rPr>
              <w:t>2027</w:t>
            </w:r>
          </w:p>
        </w:tc>
        <w:tc>
          <w:tcPr>
            <w:tcW w:w="1245" w:type="dxa"/>
          </w:tcPr>
          <w:p w14:paraId="3139EE70">
            <w:pPr>
              <w:jc w:val="center"/>
              <w:rPr>
                <w:color w:val="auto"/>
                <w:sz w:val="24"/>
                <w:szCs w:val="24"/>
              </w:rPr>
            </w:pPr>
            <w:r>
              <w:rPr>
                <w:color w:val="auto"/>
                <w:sz w:val="24"/>
                <w:szCs w:val="24"/>
              </w:rPr>
              <w:t>Tiêu chí 5</w:t>
            </w:r>
          </w:p>
        </w:tc>
        <w:tc>
          <w:tcPr>
            <w:tcW w:w="1308" w:type="dxa"/>
            <w:vMerge w:val="continue"/>
          </w:tcPr>
          <w:p w14:paraId="20C760DC">
            <w:pPr>
              <w:widowControl w:val="0"/>
              <w:spacing w:line="276" w:lineRule="auto"/>
              <w:rPr>
                <w:color w:val="auto"/>
                <w:sz w:val="24"/>
                <w:szCs w:val="24"/>
              </w:rPr>
            </w:pPr>
          </w:p>
        </w:tc>
        <w:tc>
          <w:tcPr>
            <w:tcW w:w="2410" w:type="dxa"/>
          </w:tcPr>
          <w:p w14:paraId="0446C344">
            <w:pPr>
              <w:widowControl w:val="0"/>
              <w:spacing w:line="276" w:lineRule="auto"/>
              <w:ind w:firstLine="284"/>
              <w:jc w:val="both"/>
              <w:rPr>
                <w:color w:val="auto"/>
                <w:sz w:val="24"/>
                <w:szCs w:val="24"/>
              </w:rPr>
            </w:pPr>
            <w:r>
              <w:rPr>
                <w:color w:val="auto"/>
                <w:sz w:val="24"/>
                <w:szCs w:val="24"/>
              </w:rPr>
              <w:t>Nhất trí.</w:t>
            </w:r>
          </w:p>
        </w:tc>
      </w:tr>
      <w:tr w14:paraId="1A1BE2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976" w:hRule="atLeast"/>
          <w:jc w:val="center"/>
        </w:trPr>
        <w:tc>
          <w:tcPr>
            <w:tcW w:w="704" w:type="dxa"/>
            <w:vMerge w:val="continue"/>
          </w:tcPr>
          <w:p w14:paraId="5335CEC0">
            <w:pPr>
              <w:widowControl w:val="0"/>
              <w:spacing w:line="276" w:lineRule="auto"/>
              <w:rPr>
                <w:color w:val="auto"/>
                <w:sz w:val="24"/>
                <w:szCs w:val="24"/>
              </w:rPr>
            </w:pPr>
          </w:p>
        </w:tc>
        <w:tc>
          <w:tcPr>
            <w:tcW w:w="1843" w:type="dxa"/>
            <w:vMerge w:val="continue"/>
          </w:tcPr>
          <w:p w14:paraId="2FB7BDC0">
            <w:pPr>
              <w:widowControl w:val="0"/>
              <w:spacing w:line="276" w:lineRule="auto"/>
              <w:rPr>
                <w:color w:val="auto"/>
                <w:sz w:val="24"/>
                <w:szCs w:val="24"/>
              </w:rPr>
            </w:pPr>
          </w:p>
        </w:tc>
        <w:tc>
          <w:tcPr>
            <w:tcW w:w="1417" w:type="dxa"/>
          </w:tcPr>
          <w:p w14:paraId="7E9E2D8F">
            <w:pPr>
              <w:jc w:val="both"/>
              <w:rPr>
                <w:color w:val="auto"/>
                <w:sz w:val="24"/>
                <w:szCs w:val="24"/>
              </w:rPr>
            </w:pPr>
            <w:r>
              <w:rPr>
                <w:color w:val="auto"/>
                <w:sz w:val="24"/>
                <w:szCs w:val="24"/>
              </w:rPr>
              <w:t>Nghị định 267/2025/NĐ-CP ngày 14/10/2025 của Chính phủ quy định chi tiết và hướng dẫn một số điều của Luật Khoa học, công nghệ và đổi mới sáng tạo về chương trình nhiệm vụ khoa học công nghệ và đổi mới sáng tạo và một số quy định về thúc đẩy hoạt động nghiên cứu khoa học phát triển công nghệ và đổi mới sáng tạo</w:t>
            </w:r>
          </w:p>
        </w:tc>
        <w:tc>
          <w:tcPr>
            <w:tcW w:w="4051" w:type="dxa"/>
          </w:tcPr>
          <w:p w14:paraId="5BA95F27">
            <w:pPr>
              <w:jc w:val="both"/>
              <w:rPr>
                <w:rFonts w:hint="default"/>
                <w:color w:val="auto"/>
                <w:sz w:val="24"/>
                <w:szCs w:val="24"/>
                <w:lang w:val="en-US"/>
              </w:rPr>
            </w:pPr>
            <w:r>
              <w:rPr>
                <w:color w:val="auto"/>
                <w:sz w:val="24"/>
                <w:szCs w:val="24"/>
              </w:rPr>
              <w:t xml:space="preserve">Bổ sung Khoản 3 Điều 6 “Chi hỗ trợ hoạt động truyền thông khoa học, công nghệ và đổi mới sáng tạo, phổ biến tri thức” để </w:t>
            </w:r>
            <w:r>
              <w:rPr>
                <w:rFonts w:hint="default"/>
                <w:color w:val="auto"/>
                <w:sz w:val="24"/>
                <w:szCs w:val="24"/>
                <w:lang w:val="en-US"/>
              </w:rPr>
              <w:t xml:space="preserve">có nguồn chi </w:t>
            </w:r>
            <w:r>
              <w:rPr>
                <w:color w:val="auto"/>
                <w:sz w:val="24"/>
                <w:szCs w:val="24"/>
              </w:rPr>
              <w:t xml:space="preserve">phù hợp với nội dung </w:t>
            </w:r>
            <w:r>
              <w:rPr>
                <w:rFonts w:hint="default"/>
                <w:color w:val="auto"/>
                <w:sz w:val="24"/>
                <w:szCs w:val="24"/>
                <w:lang w:val="en-US"/>
              </w:rPr>
              <w:t xml:space="preserve">nhiệm vụ </w:t>
            </w:r>
            <w:r>
              <w:rPr>
                <w:color w:val="auto"/>
                <w:sz w:val="24"/>
                <w:szCs w:val="24"/>
              </w:rPr>
              <w:t>hỗ trợ nâng cao năng lực tại Nghị định 267/2025/NĐ-CP</w:t>
            </w:r>
            <w:r>
              <w:rPr>
                <w:rFonts w:hint="default"/>
                <w:color w:val="auto"/>
                <w:sz w:val="24"/>
                <w:szCs w:val="24"/>
                <w:lang w:val="en-US"/>
              </w:rPr>
              <w:t xml:space="preserve"> hiện đang chưa có mục chi.</w:t>
            </w:r>
          </w:p>
        </w:tc>
        <w:tc>
          <w:tcPr>
            <w:tcW w:w="1394" w:type="dxa"/>
          </w:tcPr>
          <w:p w14:paraId="4EF34293">
            <w:pPr>
              <w:jc w:val="center"/>
              <w:rPr>
                <w:color w:val="auto"/>
                <w:sz w:val="24"/>
                <w:szCs w:val="24"/>
              </w:rPr>
            </w:pPr>
            <w:r>
              <w:rPr>
                <w:color w:val="auto"/>
                <w:sz w:val="24"/>
                <w:szCs w:val="24"/>
              </w:rPr>
              <w:t>sửa đổi, bổ sung</w:t>
            </w:r>
          </w:p>
        </w:tc>
        <w:tc>
          <w:tcPr>
            <w:tcW w:w="1275" w:type="dxa"/>
          </w:tcPr>
          <w:p w14:paraId="026E9F9F">
            <w:pPr>
              <w:jc w:val="center"/>
              <w:rPr>
                <w:color w:val="auto"/>
                <w:sz w:val="24"/>
                <w:szCs w:val="24"/>
              </w:rPr>
            </w:pPr>
            <w:r>
              <w:rPr>
                <w:rFonts w:hint="default"/>
                <w:color w:val="auto"/>
                <w:sz w:val="24"/>
                <w:szCs w:val="24"/>
                <w:lang w:val="en-US"/>
              </w:rPr>
              <w:t>Tháng 12/</w:t>
            </w:r>
            <w:r>
              <w:rPr>
                <w:color w:val="auto"/>
                <w:sz w:val="24"/>
                <w:szCs w:val="24"/>
              </w:rPr>
              <w:t>2027</w:t>
            </w:r>
          </w:p>
        </w:tc>
        <w:tc>
          <w:tcPr>
            <w:tcW w:w="1245" w:type="dxa"/>
          </w:tcPr>
          <w:p w14:paraId="392BBA69">
            <w:pPr>
              <w:jc w:val="center"/>
              <w:rPr>
                <w:color w:val="auto"/>
                <w:sz w:val="24"/>
                <w:szCs w:val="24"/>
              </w:rPr>
            </w:pPr>
            <w:r>
              <w:rPr>
                <w:color w:val="auto"/>
                <w:sz w:val="24"/>
                <w:szCs w:val="24"/>
              </w:rPr>
              <w:t>Tiêu chí 2</w:t>
            </w:r>
          </w:p>
        </w:tc>
        <w:tc>
          <w:tcPr>
            <w:tcW w:w="1308" w:type="dxa"/>
            <w:vMerge w:val="continue"/>
          </w:tcPr>
          <w:p w14:paraId="26BB6485">
            <w:pPr>
              <w:widowControl w:val="0"/>
              <w:spacing w:line="276" w:lineRule="auto"/>
              <w:rPr>
                <w:color w:val="auto"/>
                <w:sz w:val="24"/>
                <w:szCs w:val="24"/>
              </w:rPr>
            </w:pPr>
          </w:p>
        </w:tc>
        <w:tc>
          <w:tcPr>
            <w:tcW w:w="2410" w:type="dxa"/>
          </w:tcPr>
          <w:p w14:paraId="1A34277E">
            <w:pPr>
              <w:widowControl w:val="0"/>
              <w:spacing w:line="276" w:lineRule="auto"/>
              <w:ind w:firstLine="284"/>
              <w:jc w:val="both"/>
              <w:rPr>
                <w:rFonts w:hint="default"/>
                <w:color w:val="auto"/>
                <w:sz w:val="24"/>
                <w:szCs w:val="24"/>
                <w:lang w:val="en-US"/>
              </w:rPr>
            </w:pPr>
            <w:r>
              <w:rPr>
                <w:rFonts w:hint="default"/>
                <w:color w:val="auto"/>
                <w:sz w:val="24"/>
                <w:szCs w:val="24"/>
                <w:lang w:val="en-US"/>
              </w:rPr>
              <w:t xml:space="preserve"> </w:t>
            </w:r>
          </w:p>
          <w:p w14:paraId="3A61A2DA">
            <w:pPr>
              <w:ind w:firstLine="284"/>
              <w:jc w:val="both"/>
              <w:rPr>
                <w:color w:val="auto"/>
                <w:sz w:val="24"/>
                <w:szCs w:val="24"/>
              </w:rPr>
            </w:pPr>
            <w:r>
              <w:rPr>
                <w:color w:val="auto"/>
                <w:sz w:val="24"/>
                <w:szCs w:val="24"/>
              </w:rPr>
              <w:t>- Cần làm rõ, hoàn thiện thêm, phân tích nội dung, quy định mâu thuẫn, chưa phù hợp cần xử lý.</w:t>
            </w:r>
          </w:p>
          <w:p w14:paraId="0FA4888B">
            <w:pPr>
              <w:ind w:firstLine="284"/>
              <w:jc w:val="both"/>
              <w:rPr>
                <w:color w:val="auto"/>
                <w:sz w:val="24"/>
                <w:szCs w:val="24"/>
              </w:rPr>
            </w:pPr>
            <w:r>
              <w:rPr>
                <w:color w:val="auto"/>
                <w:sz w:val="24"/>
                <w:szCs w:val="24"/>
              </w:rPr>
              <w:t>- Đề nghị chỉnh lý tên văn bản làm căn cứ rà soát đầy đủ.</w:t>
            </w:r>
          </w:p>
        </w:tc>
      </w:tr>
      <w:tr w14:paraId="716717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433" w:hRule="atLeast"/>
          <w:jc w:val="center"/>
        </w:trPr>
        <w:tc>
          <w:tcPr>
            <w:tcW w:w="704" w:type="dxa"/>
            <w:vMerge w:val="continue"/>
          </w:tcPr>
          <w:p w14:paraId="2BB4320B">
            <w:pPr>
              <w:widowControl w:val="0"/>
              <w:spacing w:line="276" w:lineRule="auto"/>
              <w:rPr>
                <w:color w:val="auto"/>
                <w:sz w:val="24"/>
                <w:szCs w:val="24"/>
              </w:rPr>
            </w:pPr>
          </w:p>
        </w:tc>
        <w:tc>
          <w:tcPr>
            <w:tcW w:w="1843" w:type="dxa"/>
            <w:vMerge w:val="continue"/>
          </w:tcPr>
          <w:p w14:paraId="6C6CAAA5">
            <w:pPr>
              <w:widowControl w:val="0"/>
              <w:spacing w:line="276" w:lineRule="auto"/>
              <w:rPr>
                <w:color w:val="auto"/>
                <w:sz w:val="24"/>
                <w:szCs w:val="24"/>
              </w:rPr>
            </w:pPr>
          </w:p>
        </w:tc>
        <w:tc>
          <w:tcPr>
            <w:tcW w:w="1417" w:type="dxa"/>
          </w:tcPr>
          <w:p w14:paraId="0E4FB1FA">
            <w:pPr>
              <w:spacing w:before="120"/>
              <w:jc w:val="both"/>
              <w:rPr>
                <w:color w:val="auto"/>
                <w:sz w:val="24"/>
                <w:szCs w:val="24"/>
              </w:rPr>
            </w:pPr>
            <w:r>
              <w:rPr>
                <w:color w:val="auto"/>
                <w:sz w:val="24"/>
                <w:szCs w:val="24"/>
              </w:rPr>
              <w:t>Tình hình thực tiễn</w:t>
            </w:r>
          </w:p>
        </w:tc>
        <w:tc>
          <w:tcPr>
            <w:tcW w:w="4051" w:type="dxa"/>
          </w:tcPr>
          <w:p w14:paraId="12070ED8">
            <w:pPr>
              <w:jc w:val="both"/>
              <w:rPr>
                <w:rFonts w:hint="default"/>
                <w:color w:val="auto"/>
                <w:sz w:val="24"/>
                <w:szCs w:val="24"/>
                <w:lang w:val="en-US"/>
              </w:rPr>
            </w:pPr>
            <w:r>
              <w:rPr>
                <w:color w:val="auto"/>
                <w:sz w:val="24"/>
                <w:szCs w:val="24"/>
              </w:rPr>
              <w:t>Khoản 4 Điều 16 Nghị định 265/2025/NĐ-CP quy định các nội dung chi của Quỹ Bộ, ngành địa phương nêu các đầu mục chi nhưng khi viện dẫn thì thiếu đầu mục chi của khoản 6 Điều 6 NĐ 265 về "chi hỗ trợ phát triển hoạt động đổi mới sáng tạo, hệ sinh thái khởi nghiệp..."</w:t>
            </w:r>
            <w:r>
              <w:rPr>
                <w:rFonts w:hint="default"/>
                <w:color w:val="auto"/>
                <w:sz w:val="24"/>
                <w:szCs w:val="24"/>
                <w:lang w:val="en-US"/>
              </w:rPr>
              <w:t>, vì vậy, cần sửa đồi k</w:t>
            </w:r>
            <w:r>
              <w:rPr>
                <w:color w:val="auto"/>
                <w:sz w:val="24"/>
                <w:szCs w:val="24"/>
              </w:rPr>
              <w:t>Khoản 4 Điều 16</w:t>
            </w:r>
          </w:p>
        </w:tc>
        <w:tc>
          <w:tcPr>
            <w:tcW w:w="1394" w:type="dxa"/>
          </w:tcPr>
          <w:p w14:paraId="5DA1624C">
            <w:pPr>
              <w:jc w:val="center"/>
              <w:rPr>
                <w:color w:val="auto"/>
                <w:sz w:val="24"/>
                <w:szCs w:val="24"/>
              </w:rPr>
            </w:pPr>
            <w:r>
              <w:rPr>
                <w:color w:val="auto"/>
                <w:sz w:val="24"/>
                <w:szCs w:val="24"/>
              </w:rPr>
              <w:t>sửa đổi, bổ sung</w:t>
            </w:r>
          </w:p>
        </w:tc>
        <w:tc>
          <w:tcPr>
            <w:tcW w:w="1275" w:type="dxa"/>
          </w:tcPr>
          <w:p w14:paraId="0896D9E9">
            <w:pPr>
              <w:jc w:val="center"/>
              <w:rPr>
                <w:color w:val="auto"/>
                <w:sz w:val="24"/>
                <w:szCs w:val="24"/>
              </w:rPr>
            </w:pPr>
            <w:r>
              <w:rPr>
                <w:rFonts w:hint="default"/>
                <w:color w:val="auto"/>
                <w:sz w:val="24"/>
                <w:szCs w:val="24"/>
                <w:lang w:val="en-US"/>
              </w:rPr>
              <w:t>Tháng 12/</w:t>
            </w:r>
            <w:r>
              <w:rPr>
                <w:color w:val="auto"/>
                <w:sz w:val="24"/>
                <w:szCs w:val="24"/>
              </w:rPr>
              <w:t>2027</w:t>
            </w:r>
          </w:p>
        </w:tc>
        <w:tc>
          <w:tcPr>
            <w:tcW w:w="1245" w:type="dxa"/>
          </w:tcPr>
          <w:p w14:paraId="2E7497A8">
            <w:pPr>
              <w:jc w:val="center"/>
              <w:rPr>
                <w:rFonts w:hint="default"/>
                <w:color w:val="auto"/>
                <w:sz w:val="24"/>
                <w:szCs w:val="24"/>
                <w:lang w:val="en-US"/>
              </w:rPr>
            </w:pPr>
            <w:r>
              <w:rPr>
                <w:color w:val="auto"/>
                <w:sz w:val="24"/>
                <w:szCs w:val="24"/>
              </w:rPr>
              <w:t>Tiêu chí</w:t>
            </w:r>
            <w:r>
              <w:rPr>
                <w:rFonts w:hint="default"/>
                <w:color w:val="auto"/>
                <w:sz w:val="24"/>
                <w:szCs w:val="24"/>
                <w:lang w:val="en-US"/>
              </w:rPr>
              <w:t xml:space="preserve"> 2.3</w:t>
            </w:r>
          </w:p>
        </w:tc>
        <w:tc>
          <w:tcPr>
            <w:tcW w:w="1308" w:type="dxa"/>
            <w:vMerge w:val="continue"/>
          </w:tcPr>
          <w:p w14:paraId="3CED05D5">
            <w:pPr>
              <w:widowControl w:val="0"/>
              <w:spacing w:line="276" w:lineRule="auto"/>
              <w:rPr>
                <w:color w:val="auto"/>
                <w:sz w:val="24"/>
                <w:szCs w:val="24"/>
              </w:rPr>
            </w:pPr>
          </w:p>
        </w:tc>
        <w:tc>
          <w:tcPr>
            <w:tcW w:w="2410" w:type="dxa"/>
          </w:tcPr>
          <w:p w14:paraId="4F27387C">
            <w:pPr>
              <w:widowControl w:val="0"/>
              <w:spacing w:line="276" w:lineRule="auto"/>
              <w:ind w:firstLine="284"/>
              <w:jc w:val="both"/>
              <w:rPr>
                <w:color w:val="auto"/>
                <w:sz w:val="24"/>
                <w:szCs w:val="24"/>
              </w:rPr>
            </w:pPr>
            <w:r>
              <w:rPr>
                <w:color w:val="auto"/>
                <w:sz w:val="24"/>
                <w:szCs w:val="24"/>
              </w:rPr>
              <w:t>Cần làm rõ, hoàn thiện thêm các nội dung quy định cần xử lý.</w:t>
            </w:r>
          </w:p>
          <w:p w14:paraId="20606EE0">
            <w:pPr>
              <w:widowControl w:val="0"/>
              <w:spacing w:line="276" w:lineRule="auto"/>
              <w:ind w:firstLine="284"/>
              <w:jc w:val="both"/>
              <w:rPr>
                <w:color w:val="auto"/>
                <w:sz w:val="24"/>
                <w:szCs w:val="24"/>
              </w:rPr>
            </w:pPr>
            <w:r>
              <w:rPr>
                <w:rFonts w:hint="default"/>
                <w:color w:val="auto"/>
                <w:sz w:val="24"/>
                <w:szCs w:val="24"/>
                <w:lang w:val="en-US"/>
              </w:rPr>
              <w:t xml:space="preserve"> </w:t>
            </w:r>
          </w:p>
        </w:tc>
      </w:tr>
      <w:tr w14:paraId="2552E3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30" w:hRule="atLeast"/>
          <w:jc w:val="center"/>
        </w:trPr>
        <w:tc>
          <w:tcPr>
            <w:tcW w:w="704" w:type="dxa"/>
          </w:tcPr>
          <w:p w14:paraId="53CD12CB">
            <w:pPr>
              <w:widowControl w:val="0"/>
              <w:numPr>
                <w:ilvl w:val="0"/>
                <w:numId w:val="1"/>
              </w:numPr>
              <w:spacing w:line="276" w:lineRule="auto"/>
              <w:ind w:left="501" w:leftChars="0" w:hanging="360" w:firstLineChars="0"/>
              <w:rPr>
                <w:rFonts w:hint="default"/>
                <w:color w:val="auto"/>
                <w:sz w:val="24"/>
                <w:szCs w:val="24"/>
                <w:lang w:val="en-US"/>
              </w:rPr>
            </w:pPr>
          </w:p>
        </w:tc>
        <w:tc>
          <w:tcPr>
            <w:tcW w:w="1843" w:type="dxa"/>
            <w:vAlign w:val="top"/>
          </w:tcPr>
          <w:p w14:paraId="3E1F039E">
            <w:pPr>
              <w:pStyle w:val="15"/>
              <w:keepNext w:val="0"/>
              <w:keepLines w:val="0"/>
              <w:widowControl/>
              <w:suppressLineNumbers w:val="0"/>
              <w:bidi w:val="0"/>
              <w:spacing w:before="120" w:beforeAutospacing="0" w:after="0" w:afterAutospacing="0" w:line="15" w:lineRule="atLeast"/>
              <w:jc w:val="both"/>
              <w:rPr>
                <w:color w:val="auto"/>
                <w:sz w:val="24"/>
                <w:szCs w:val="24"/>
              </w:rPr>
            </w:pPr>
            <w:r>
              <w:rPr>
                <w:rFonts w:hint="default" w:ascii="Times New Roman" w:hAnsi="Times New Roman" w:cs="Times New Roman"/>
                <w:i w:val="0"/>
                <w:iCs w:val="0"/>
                <w:color w:val="auto"/>
                <w:sz w:val="24"/>
                <w:szCs w:val="24"/>
                <w:u w:val="none"/>
                <w:vertAlign w:val="baseline"/>
              </w:rPr>
              <w:t>Nghị định số 263/2025/NĐ-CP ngày 14/10/2025 của Chính phủ quy định chi tiết và hướng dẫn một số điều của Luật Khoa học, công nghệ và đổi mới sáng tạo về cơ chế tự chủ, tự chịu trách nhiệm của tổ chức khoa học và công nghệ công lập, nhân lực, nhân tài và giải thưởng trong lĩnh vực khoa học, công nghệ và đổi mới sáng tạo </w:t>
            </w:r>
          </w:p>
        </w:tc>
        <w:tc>
          <w:tcPr>
            <w:tcW w:w="1417" w:type="dxa"/>
            <w:vAlign w:val="top"/>
          </w:tcPr>
          <w:p w14:paraId="29DB328D">
            <w:pPr>
              <w:pStyle w:val="15"/>
              <w:keepNext w:val="0"/>
              <w:keepLines w:val="0"/>
              <w:widowControl/>
              <w:suppressLineNumbers w:val="0"/>
              <w:bidi w:val="0"/>
              <w:spacing w:before="120" w:beforeAutospacing="0" w:after="0" w:afterAutospacing="0" w:line="15" w:lineRule="atLeast"/>
              <w:jc w:val="both"/>
              <w:rPr>
                <w:color w:val="auto"/>
              </w:rPr>
            </w:pPr>
            <w:r>
              <w:rPr>
                <w:rFonts w:hint="default" w:ascii="Times New Roman" w:hAnsi="Times New Roman" w:cs="Times New Roman"/>
                <w:i w:val="0"/>
                <w:iCs w:val="0"/>
                <w:color w:val="auto"/>
                <w:sz w:val="24"/>
                <w:szCs w:val="24"/>
                <w:u w:val="none"/>
                <w:vertAlign w:val="baseline"/>
              </w:rPr>
              <w:t>- Luật Viên chức số 129/2025/QH15</w:t>
            </w:r>
          </w:p>
          <w:p w14:paraId="0DA50737">
            <w:pPr>
              <w:pStyle w:val="15"/>
              <w:keepNext w:val="0"/>
              <w:keepLines w:val="0"/>
              <w:widowControl/>
              <w:suppressLineNumbers w:val="0"/>
              <w:bidi w:val="0"/>
              <w:spacing w:before="120" w:beforeAutospacing="0" w:after="0" w:afterAutospacing="0" w:line="15" w:lineRule="atLeast"/>
              <w:jc w:val="both"/>
              <w:rPr>
                <w:color w:val="auto"/>
                <w:sz w:val="24"/>
                <w:szCs w:val="24"/>
              </w:rPr>
            </w:pPr>
            <w:r>
              <w:rPr>
                <w:rFonts w:hint="default" w:ascii="Times New Roman" w:hAnsi="Times New Roman" w:cs="Times New Roman"/>
                <w:i w:val="0"/>
                <w:iCs w:val="0"/>
                <w:color w:val="auto"/>
                <w:sz w:val="24"/>
                <w:szCs w:val="24"/>
                <w:u w:val="none"/>
                <w:vertAlign w:val="baseline"/>
              </w:rPr>
              <w:t xml:space="preserve">- </w:t>
            </w:r>
            <w:r>
              <w:rPr>
                <w:rFonts w:hint="default" w:ascii="Times New Roman" w:hAnsi="Times New Roman" w:cs="Times New Roman"/>
                <w:i w:val="0"/>
                <w:iCs w:val="0"/>
                <w:color w:val="auto"/>
                <w:sz w:val="22"/>
                <w:szCs w:val="22"/>
                <w:u w:val="none"/>
                <w:vertAlign w:val="baseline"/>
              </w:rPr>
              <w:t>Nghị quyết số 66/NQ-CP ngày 26/3/2025 của Chính phủ về chương trình cắt giảm, đơn giản hóa TTHC liên quan đến hoạt động sản xuất, kinh doanh năm 2025 và 2026</w:t>
            </w:r>
            <w:r>
              <w:rPr>
                <w:rFonts w:hint="default" w:ascii="Times New Roman" w:hAnsi="Times New Roman" w:cs="Times New Roman"/>
                <w:i w:val="0"/>
                <w:iCs w:val="0"/>
                <w:color w:val="auto"/>
                <w:sz w:val="24"/>
                <w:szCs w:val="24"/>
                <w:u w:val="none"/>
                <w:vertAlign w:val="baseline"/>
              </w:rPr>
              <w:t> </w:t>
            </w:r>
          </w:p>
        </w:tc>
        <w:tc>
          <w:tcPr>
            <w:tcW w:w="4051" w:type="dxa"/>
            <w:vAlign w:val="top"/>
          </w:tcPr>
          <w:p w14:paraId="4B0C8FB9">
            <w:pPr>
              <w:pStyle w:val="15"/>
              <w:keepNext w:val="0"/>
              <w:keepLines w:val="0"/>
              <w:widowControl/>
              <w:suppressLineNumbers w:val="0"/>
              <w:bidi w:val="0"/>
              <w:spacing w:before="0" w:beforeAutospacing="0" w:after="0" w:afterAutospacing="0" w:line="15" w:lineRule="atLeast"/>
              <w:jc w:val="both"/>
              <w:rPr>
                <w:color w:val="auto"/>
              </w:rPr>
            </w:pPr>
            <w:r>
              <w:rPr>
                <w:rFonts w:hint="default" w:ascii="Times New Roman" w:hAnsi="Times New Roman" w:cs="Times New Roman"/>
                <w:i w:val="0"/>
                <w:iCs w:val="0"/>
                <w:color w:val="auto"/>
                <w:sz w:val="24"/>
                <w:szCs w:val="24"/>
                <w:u w:val="none"/>
                <w:vertAlign w:val="baseline"/>
              </w:rPr>
              <w:t>1. Luật Viên chức số 129/2025/QH15 có hiệu lực thi hành từ ngày 01/7/2026 và văn bản hướng dẫn không còn quy định về hạng các chức danh khoa học, chức danh công nghệ khác nhau, thay bằng bậc từ bậc 1 đến bậc 5.</w:t>
            </w:r>
          </w:p>
          <w:p w14:paraId="7B45CD3F">
            <w:pPr>
              <w:pStyle w:val="15"/>
              <w:keepNext w:val="0"/>
              <w:keepLines w:val="0"/>
              <w:widowControl/>
              <w:suppressLineNumbers w:val="0"/>
              <w:bidi w:val="0"/>
              <w:spacing w:before="0" w:beforeAutospacing="0" w:after="0" w:afterAutospacing="0" w:line="15" w:lineRule="atLeast"/>
              <w:jc w:val="both"/>
              <w:rPr>
                <w:color w:val="auto"/>
              </w:rPr>
            </w:pPr>
            <w:r>
              <w:rPr>
                <w:rFonts w:hint="default" w:ascii="Times New Roman" w:hAnsi="Times New Roman" w:cs="Times New Roman"/>
                <w:i/>
                <w:iCs/>
                <w:color w:val="auto"/>
                <w:sz w:val="24"/>
                <w:szCs w:val="24"/>
                <w:u w:val="none"/>
                <w:vertAlign w:val="baseline"/>
              </w:rPr>
              <w:t>Sửa đổi Điều 30 Nghị định số 265/2025/NĐ-CP để gắn với vị trí việc làm theo quy định của pháp luật viên chức</w:t>
            </w:r>
          </w:p>
          <w:p w14:paraId="59FEDF40">
            <w:pPr>
              <w:pStyle w:val="15"/>
              <w:keepNext w:val="0"/>
              <w:keepLines w:val="0"/>
              <w:widowControl/>
              <w:suppressLineNumbers w:val="0"/>
              <w:bidi w:val="0"/>
              <w:spacing w:before="0" w:beforeAutospacing="0" w:after="0" w:afterAutospacing="0" w:line="15" w:lineRule="atLeast"/>
              <w:jc w:val="both"/>
              <w:rPr>
                <w:color w:val="auto"/>
              </w:rPr>
            </w:pPr>
            <w:r>
              <w:rPr>
                <w:rFonts w:hint="default" w:ascii="Times New Roman" w:hAnsi="Times New Roman" w:cs="Times New Roman"/>
                <w:i w:val="0"/>
                <w:iCs w:val="0"/>
                <w:color w:val="auto"/>
                <w:sz w:val="24"/>
                <w:szCs w:val="24"/>
                <w:u w:val="none"/>
                <w:vertAlign w:val="baseline"/>
              </w:rPr>
              <w:t>2. Luật Viên chức số 129/2025/QH15 có hiệu lực thi hành từ ngày 01/7/2026 không còn quy định về chế độ tập sự.</w:t>
            </w:r>
          </w:p>
          <w:p w14:paraId="63D62235">
            <w:pPr>
              <w:pStyle w:val="15"/>
              <w:keepNext w:val="0"/>
              <w:keepLines w:val="0"/>
              <w:widowControl/>
              <w:suppressLineNumbers w:val="0"/>
              <w:bidi w:val="0"/>
              <w:spacing w:before="0" w:beforeAutospacing="0" w:after="0" w:afterAutospacing="0" w:line="15" w:lineRule="atLeast"/>
              <w:jc w:val="both"/>
              <w:rPr>
                <w:color w:val="auto"/>
              </w:rPr>
            </w:pPr>
            <w:r>
              <w:rPr>
                <w:rFonts w:hint="default" w:ascii="Times New Roman" w:hAnsi="Times New Roman" w:cs="Times New Roman"/>
                <w:b/>
                <w:bCs/>
                <w:i/>
                <w:iCs/>
                <w:color w:val="auto"/>
                <w:sz w:val="24"/>
                <w:szCs w:val="24"/>
                <w:u w:val="none"/>
                <w:vertAlign w:val="baseline"/>
              </w:rPr>
              <w:t>Sửa đổi Điều 31 Nghị định 263:</w:t>
            </w:r>
          </w:p>
          <w:p w14:paraId="4E662792">
            <w:pPr>
              <w:pStyle w:val="15"/>
              <w:keepNext w:val="0"/>
              <w:keepLines w:val="0"/>
              <w:widowControl/>
              <w:suppressLineNumbers w:val="0"/>
              <w:bidi w:val="0"/>
              <w:spacing w:before="0" w:beforeAutospacing="0" w:after="0" w:afterAutospacing="0" w:line="15" w:lineRule="atLeast"/>
              <w:jc w:val="both"/>
              <w:rPr>
                <w:color w:val="auto"/>
              </w:rPr>
            </w:pPr>
            <w:r>
              <w:rPr>
                <w:rFonts w:hint="default" w:ascii="Times New Roman" w:hAnsi="Times New Roman" w:cs="Times New Roman"/>
                <w:i w:val="0"/>
                <w:iCs w:val="0"/>
                <w:color w:val="auto"/>
                <w:sz w:val="24"/>
                <w:szCs w:val="24"/>
                <w:u w:val="none"/>
                <w:vertAlign w:val="baseline"/>
              </w:rPr>
              <w:t>Bỏ nội dung “không phải thực hiện chế độ tập sự” tại khoản 1 Điều 31</w:t>
            </w:r>
          </w:p>
          <w:p w14:paraId="5E0AB93D">
            <w:pPr>
              <w:pStyle w:val="15"/>
              <w:keepNext w:val="0"/>
              <w:keepLines w:val="0"/>
              <w:widowControl/>
              <w:suppressLineNumbers w:val="0"/>
              <w:bidi w:val="0"/>
              <w:spacing w:before="0" w:beforeAutospacing="0" w:after="0" w:afterAutospacing="0" w:line="15" w:lineRule="atLeast"/>
              <w:jc w:val="both"/>
              <w:rPr>
                <w:color w:val="auto"/>
              </w:rPr>
            </w:pPr>
            <w:r>
              <w:rPr>
                <w:rFonts w:hint="default" w:ascii="Times New Roman" w:hAnsi="Times New Roman" w:cs="Times New Roman"/>
                <w:i w:val="0"/>
                <w:iCs w:val="0"/>
                <w:color w:val="auto"/>
                <w:sz w:val="24"/>
                <w:szCs w:val="24"/>
                <w:u w:val="none"/>
                <w:vertAlign w:val="baseline"/>
              </w:rPr>
              <w:t>3. Luật Viên chức số 129/2025/QH15 có hiệu lực thi hành từ ngày 01/7/2026 không còn quy định về chức danh nghề nghiệp, bổ nhiệm vào chức danh nghề nghiệp và thay đổi chức danh nghề nghiệp.</w:t>
            </w:r>
          </w:p>
          <w:p w14:paraId="0A219115">
            <w:pPr>
              <w:pStyle w:val="15"/>
              <w:keepNext w:val="0"/>
              <w:keepLines w:val="0"/>
              <w:widowControl/>
              <w:suppressLineNumbers w:val="0"/>
              <w:bidi w:val="0"/>
              <w:spacing w:before="0" w:beforeAutospacing="0" w:after="0" w:afterAutospacing="0" w:line="15" w:lineRule="atLeast"/>
              <w:jc w:val="both"/>
              <w:rPr>
                <w:color w:val="auto"/>
              </w:rPr>
            </w:pPr>
            <w:r>
              <w:rPr>
                <w:rFonts w:hint="default" w:ascii="Times New Roman" w:hAnsi="Times New Roman" w:cs="Times New Roman"/>
                <w:i w:val="0"/>
                <w:iCs w:val="0"/>
                <w:color w:val="auto"/>
                <w:sz w:val="24"/>
                <w:szCs w:val="24"/>
                <w:u w:val="none"/>
                <w:vertAlign w:val="baseline"/>
              </w:rPr>
              <w:t>Trong khi đó, Điều 32 Nghị định số 263/2025/NĐ-CP quy định về việc bổ nhiệm vào chức danh khoa học, chức danh công nghệ cao hơn không phụ thuộc vào năm công tác.</w:t>
            </w:r>
          </w:p>
          <w:p w14:paraId="375A1940">
            <w:pPr>
              <w:pStyle w:val="15"/>
              <w:keepNext w:val="0"/>
              <w:keepLines w:val="0"/>
              <w:widowControl/>
              <w:suppressLineNumbers w:val="0"/>
              <w:bidi w:val="0"/>
              <w:spacing w:before="0" w:beforeAutospacing="0" w:after="0" w:afterAutospacing="0" w:line="15" w:lineRule="atLeast"/>
              <w:jc w:val="both"/>
              <w:rPr>
                <w:color w:val="auto"/>
              </w:rPr>
            </w:pPr>
            <w:r>
              <w:rPr>
                <w:rFonts w:hint="default" w:ascii="Times New Roman" w:hAnsi="Times New Roman" w:cs="Times New Roman"/>
                <w:b/>
                <w:bCs/>
                <w:i/>
                <w:iCs/>
                <w:color w:val="auto"/>
                <w:sz w:val="24"/>
                <w:szCs w:val="24"/>
                <w:u w:val="none"/>
                <w:vertAlign w:val="baseline"/>
              </w:rPr>
              <w:t>Bãi bỏ Điều 32 Nghị định số 263/2025/NĐ-CP</w:t>
            </w:r>
            <w:r>
              <w:rPr>
                <w:rFonts w:hint="default" w:ascii="Times New Roman" w:hAnsi="Times New Roman" w:cs="Times New Roman"/>
                <w:i w:val="0"/>
                <w:iCs w:val="0"/>
                <w:color w:val="auto"/>
                <w:sz w:val="24"/>
                <w:szCs w:val="24"/>
                <w:u w:val="none"/>
                <w:vertAlign w:val="baseline"/>
              </w:rPr>
              <w:t>.</w:t>
            </w:r>
          </w:p>
          <w:p w14:paraId="114698B1">
            <w:pPr>
              <w:pStyle w:val="15"/>
              <w:keepNext w:val="0"/>
              <w:keepLines w:val="0"/>
              <w:widowControl/>
              <w:suppressLineNumbers w:val="0"/>
              <w:bidi w:val="0"/>
              <w:spacing w:before="0" w:beforeAutospacing="0" w:after="0" w:afterAutospacing="0" w:line="15" w:lineRule="atLeast"/>
              <w:jc w:val="both"/>
              <w:rPr>
                <w:color w:val="auto"/>
              </w:rPr>
            </w:pPr>
            <w:r>
              <w:rPr>
                <w:rFonts w:hint="default" w:ascii="Times New Roman" w:hAnsi="Times New Roman" w:cs="Times New Roman"/>
                <w:i w:val="0"/>
                <w:iCs w:val="0"/>
                <w:color w:val="auto"/>
                <w:sz w:val="24"/>
                <w:szCs w:val="24"/>
                <w:u w:val="none"/>
                <w:vertAlign w:val="baseline"/>
              </w:rPr>
              <w:t>4. Yêu cầu về cắt giảm thủ tục hành chính (Nghị quyết số 66/NQ-CP ngày 26/3/2025 của Chính phủ về chương trình cắt giảm, đơn giản hóa TTHC liên quan đến hoạt động sản xuất, kinh doanh năm 2025 và 2026) liên quan đến nội dung:</w:t>
            </w:r>
          </w:p>
          <w:p w14:paraId="2BC92535">
            <w:pPr>
              <w:pStyle w:val="15"/>
              <w:keepNext w:val="0"/>
              <w:keepLines w:val="0"/>
              <w:widowControl/>
              <w:suppressLineNumbers w:val="0"/>
              <w:bidi w:val="0"/>
              <w:spacing w:before="0" w:beforeAutospacing="0" w:after="0" w:afterAutospacing="0" w:line="15" w:lineRule="atLeast"/>
              <w:jc w:val="both"/>
              <w:rPr>
                <w:color w:val="auto"/>
              </w:rPr>
            </w:pPr>
            <w:r>
              <w:rPr>
                <w:rFonts w:hint="default" w:ascii="Times New Roman" w:hAnsi="Times New Roman" w:cs="Times New Roman"/>
                <w:i w:val="0"/>
                <w:iCs w:val="0"/>
                <w:color w:val="auto"/>
                <w:sz w:val="24"/>
                <w:szCs w:val="24"/>
                <w:u w:val="none"/>
                <w:vertAlign w:val="baseline"/>
              </w:rPr>
              <w:t>- Trình tự, thủ tục thực hiện việc đặt và xét tặng giải thưởng của tổ chức, cá nhân cư trú hoặc hoạt động hợp pháp tại Việt Nam quy định tại khoản 3 Điều 50 (quy định thời hạn xem xét chấp thuận hoặc không chấp thuận việc đặt và tổ chức xét tặng giải thưởng là 25 ngày), đã được thực hiện phân cấp, cắt giảm về thời gian thực hiện tại Nghị quyết 20/2026/NQ-CP</w:t>
            </w:r>
          </w:p>
          <w:p w14:paraId="24D05372">
            <w:pPr>
              <w:pStyle w:val="15"/>
              <w:keepNext w:val="0"/>
              <w:keepLines w:val="0"/>
              <w:widowControl/>
              <w:suppressLineNumbers w:val="0"/>
              <w:bidi w:val="0"/>
              <w:spacing w:before="0" w:beforeAutospacing="0" w:after="0" w:afterAutospacing="0" w:line="15" w:lineRule="atLeast"/>
              <w:jc w:val="both"/>
              <w:rPr>
                <w:color w:val="auto"/>
              </w:rPr>
            </w:pPr>
            <w:r>
              <w:rPr>
                <w:rFonts w:hint="default" w:ascii="Times New Roman" w:hAnsi="Times New Roman" w:cs="Times New Roman"/>
                <w:b/>
                <w:bCs/>
                <w:i/>
                <w:iCs/>
                <w:color w:val="auto"/>
                <w:sz w:val="24"/>
                <w:szCs w:val="24"/>
                <w:u w:val="none"/>
                <w:vertAlign w:val="baseline"/>
              </w:rPr>
              <w:t>Sửa đổi Điều 51:</w:t>
            </w:r>
            <w:r>
              <w:rPr>
                <w:rFonts w:hint="default" w:ascii="Times New Roman" w:hAnsi="Times New Roman" w:cs="Times New Roman"/>
                <w:i w:val="0"/>
                <w:iCs w:val="0"/>
                <w:color w:val="auto"/>
                <w:sz w:val="24"/>
                <w:szCs w:val="24"/>
                <w:u w:val="none"/>
                <w:vertAlign w:val="baseline"/>
              </w:rPr>
              <w:t xml:space="preserve"> Điều chỉnh giảm thời hạn xem xét xử lý xuống còn 12 ngày làm việc với thủ tục quy định tại Điều này.</w:t>
            </w:r>
          </w:p>
          <w:p w14:paraId="6DE89678">
            <w:pPr>
              <w:pStyle w:val="15"/>
              <w:keepNext w:val="0"/>
              <w:keepLines w:val="0"/>
              <w:widowControl/>
              <w:suppressLineNumbers w:val="0"/>
              <w:bidi w:val="0"/>
              <w:spacing w:before="0" w:beforeAutospacing="0" w:after="0" w:afterAutospacing="0" w:line="15" w:lineRule="atLeast"/>
              <w:jc w:val="both"/>
              <w:rPr>
                <w:color w:val="auto"/>
              </w:rPr>
            </w:pPr>
            <w:r>
              <w:rPr>
                <w:rFonts w:hint="default" w:ascii="Times New Roman" w:hAnsi="Times New Roman" w:cs="Times New Roman"/>
                <w:i w:val="0"/>
                <w:iCs w:val="0"/>
                <w:color w:val="auto"/>
                <w:sz w:val="24"/>
                <w:szCs w:val="24"/>
                <w:u w:val="none"/>
                <w:vertAlign w:val="baseline"/>
              </w:rPr>
              <w:t>Yêu cầu về cắt giảm thủ tục hành chính (Nghị quyết số 66/NQ-CP ngày 26/3/2025 của Chính phủ về chương trình cắt giảm, đơn giản hóa TTHC liên quan đến hoạt động sản xuất, kinh doanh năm 2025 và 2026) liên quan đến các nội dung:</w:t>
            </w:r>
          </w:p>
          <w:p w14:paraId="74C2488F">
            <w:pPr>
              <w:pStyle w:val="15"/>
              <w:keepNext w:val="0"/>
              <w:keepLines w:val="0"/>
              <w:widowControl/>
              <w:suppressLineNumbers w:val="0"/>
              <w:bidi w:val="0"/>
              <w:spacing w:before="0" w:beforeAutospacing="0" w:after="0" w:afterAutospacing="0" w:line="15" w:lineRule="atLeast"/>
              <w:jc w:val="both"/>
              <w:rPr>
                <w:color w:val="auto"/>
              </w:rPr>
            </w:pPr>
            <w:r>
              <w:rPr>
                <w:rFonts w:hint="default" w:ascii="Times New Roman" w:hAnsi="Times New Roman" w:cs="Times New Roman"/>
                <w:i w:val="0"/>
                <w:iCs w:val="0"/>
                <w:color w:val="auto"/>
                <w:sz w:val="24"/>
                <w:szCs w:val="24"/>
                <w:u w:val="none"/>
                <w:vertAlign w:val="baseline"/>
              </w:rPr>
              <w:t>- Trình tự, thủ tục thực hiện việc đặt và tổ chức xét tặng giải thưởng của tổ chức, cá nhân không cư trú, không hoạt động tại Việt Nam quy định tại khoản 3 Điều 51 (quy định thời hạn xem xét chấp thuận hoặc không chấp thuận việc đặt và tổ chức xét tặng giải thưởng là 25 ngày; Bộ Khoa học và Công nghệ được giao là cơ quan có thẩm quyền xem xét), đã được thực hiện phân cấp, cắt giảm thời gian thực hiện tại Nghị quyết 20/2026/NQ-CP</w:t>
            </w:r>
          </w:p>
          <w:p w14:paraId="35475998">
            <w:pPr>
              <w:pStyle w:val="15"/>
              <w:keepNext w:val="0"/>
              <w:keepLines w:val="0"/>
              <w:widowControl/>
              <w:suppressLineNumbers w:val="0"/>
              <w:bidi w:val="0"/>
              <w:spacing w:before="0" w:beforeAutospacing="0" w:after="0" w:afterAutospacing="0" w:line="15" w:lineRule="atLeast"/>
              <w:jc w:val="both"/>
              <w:rPr>
                <w:color w:val="auto"/>
              </w:rPr>
            </w:pPr>
            <w:r>
              <w:rPr>
                <w:rFonts w:hint="default" w:ascii="Times New Roman" w:hAnsi="Times New Roman" w:cs="Times New Roman"/>
                <w:b/>
                <w:bCs/>
                <w:i/>
                <w:iCs/>
                <w:color w:val="auto"/>
                <w:sz w:val="24"/>
                <w:szCs w:val="24"/>
                <w:u w:val="none"/>
                <w:vertAlign w:val="baseline"/>
              </w:rPr>
              <w:t>Sửa đổi Điều 51:</w:t>
            </w:r>
            <w:r>
              <w:rPr>
                <w:rFonts w:hint="default" w:ascii="Times New Roman" w:hAnsi="Times New Roman" w:cs="Times New Roman"/>
                <w:i w:val="0"/>
                <w:iCs w:val="0"/>
                <w:color w:val="auto"/>
                <w:sz w:val="24"/>
                <w:szCs w:val="24"/>
                <w:u w:val="none"/>
                <w:vertAlign w:val="baseline"/>
              </w:rPr>
              <w:t xml:space="preserve"> Điều chỉnh giảm thời hạn xem xét xử lý xuống còn 12 ngày làm việc với thủ tục quy định tại Điều này.</w:t>
            </w:r>
          </w:p>
          <w:p w14:paraId="7804C848">
            <w:pPr>
              <w:pStyle w:val="15"/>
              <w:keepNext w:val="0"/>
              <w:keepLines w:val="0"/>
              <w:widowControl/>
              <w:suppressLineNumbers w:val="0"/>
              <w:bidi w:val="0"/>
              <w:spacing w:before="0" w:beforeAutospacing="0" w:after="0" w:afterAutospacing="0" w:line="15" w:lineRule="atLeast"/>
              <w:jc w:val="both"/>
              <w:rPr>
                <w:color w:val="auto"/>
                <w:sz w:val="24"/>
                <w:szCs w:val="24"/>
              </w:rPr>
            </w:pPr>
            <w:r>
              <w:rPr>
                <w:rFonts w:hint="default" w:ascii="Times New Roman" w:hAnsi="Times New Roman" w:cs="Times New Roman"/>
                <w:i w:val="0"/>
                <w:iCs w:val="0"/>
                <w:color w:val="auto"/>
                <w:sz w:val="22"/>
                <w:szCs w:val="22"/>
                <w:u w:val="none"/>
                <w:vertAlign w:val="baseline"/>
              </w:rPr>
              <w:t>- Phân cấp cho UBND cấp tỉnh thực hiện đối với thủ tục đặt và tổ chức xét tặng giải thưởng của tổ chức, cá nhân không cư trú, không hoạt động tại Việt Nam.</w:t>
            </w:r>
            <w:r>
              <w:rPr>
                <w:rFonts w:hint="default" w:ascii="Times New Roman" w:hAnsi="Times New Roman" w:cs="Times New Roman"/>
                <w:i w:val="0"/>
                <w:iCs w:val="0"/>
                <w:color w:val="auto"/>
                <w:sz w:val="24"/>
                <w:szCs w:val="24"/>
                <w:u w:val="none"/>
                <w:vertAlign w:val="baseline"/>
              </w:rPr>
              <w:t> </w:t>
            </w:r>
          </w:p>
        </w:tc>
        <w:tc>
          <w:tcPr>
            <w:tcW w:w="1394" w:type="dxa"/>
            <w:vAlign w:val="top"/>
          </w:tcPr>
          <w:p w14:paraId="2C7667FB">
            <w:pPr>
              <w:pStyle w:val="15"/>
              <w:keepNext w:val="0"/>
              <w:keepLines w:val="0"/>
              <w:widowControl/>
              <w:suppressLineNumbers w:val="0"/>
              <w:bidi w:val="0"/>
              <w:spacing w:before="0" w:beforeAutospacing="0" w:after="0" w:afterAutospacing="0" w:line="15" w:lineRule="atLeast"/>
              <w:jc w:val="center"/>
              <w:rPr>
                <w:color w:val="auto"/>
                <w:sz w:val="24"/>
                <w:szCs w:val="24"/>
              </w:rPr>
            </w:pPr>
            <w:r>
              <w:rPr>
                <w:rFonts w:hint="default" w:ascii="Times New Roman" w:hAnsi="Times New Roman" w:cs="Times New Roman"/>
                <w:i w:val="0"/>
                <w:iCs w:val="0"/>
                <w:color w:val="auto"/>
                <w:sz w:val="24"/>
                <w:szCs w:val="24"/>
                <w:u w:val="none"/>
                <w:vertAlign w:val="baseline"/>
              </w:rPr>
              <w:t>Sửa đổi, bổ sung </w:t>
            </w:r>
          </w:p>
        </w:tc>
        <w:tc>
          <w:tcPr>
            <w:tcW w:w="1275" w:type="dxa"/>
            <w:vAlign w:val="top"/>
          </w:tcPr>
          <w:p w14:paraId="346C3415">
            <w:pPr>
              <w:pStyle w:val="15"/>
              <w:keepNext w:val="0"/>
              <w:keepLines w:val="0"/>
              <w:widowControl/>
              <w:suppressLineNumbers w:val="0"/>
              <w:bidi w:val="0"/>
              <w:spacing w:before="0" w:beforeAutospacing="0" w:after="0" w:afterAutospacing="0" w:line="15" w:lineRule="atLeast"/>
              <w:jc w:val="center"/>
              <w:rPr>
                <w:color w:val="auto"/>
                <w:sz w:val="24"/>
                <w:szCs w:val="24"/>
              </w:rPr>
            </w:pPr>
            <w:r>
              <w:rPr>
                <w:rFonts w:hint="default" w:cs="Times New Roman"/>
                <w:i w:val="0"/>
                <w:iCs w:val="0"/>
                <w:color w:val="auto"/>
                <w:sz w:val="24"/>
                <w:szCs w:val="24"/>
                <w:u w:val="none"/>
                <w:vertAlign w:val="baseline"/>
                <w:lang w:val="en-US"/>
              </w:rPr>
              <w:t xml:space="preserve">Tháng </w:t>
            </w:r>
            <w:r>
              <w:rPr>
                <w:rFonts w:hint="default" w:ascii="Times New Roman" w:hAnsi="Times New Roman" w:cs="Times New Roman"/>
                <w:i w:val="0"/>
                <w:iCs w:val="0"/>
                <w:color w:val="auto"/>
                <w:sz w:val="24"/>
                <w:szCs w:val="24"/>
                <w:u w:val="none"/>
                <w:vertAlign w:val="baseline"/>
              </w:rPr>
              <w:t>3/2027 </w:t>
            </w:r>
          </w:p>
        </w:tc>
        <w:tc>
          <w:tcPr>
            <w:tcW w:w="1245" w:type="dxa"/>
            <w:vAlign w:val="top"/>
          </w:tcPr>
          <w:p w14:paraId="3F44D135">
            <w:pPr>
              <w:pStyle w:val="15"/>
              <w:keepNext w:val="0"/>
              <w:keepLines w:val="0"/>
              <w:widowControl/>
              <w:suppressLineNumbers w:val="0"/>
              <w:bidi w:val="0"/>
              <w:spacing w:before="0" w:beforeAutospacing="0" w:after="0" w:afterAutospacing="0" w:line="15" w:lineRule="atLeast"/>
              <w:jc w:val="center"/>
              <w:rPr>
                <w:color w:val="auto"/>
                <w:sz w:val="24"/>
                <w:szCs w:val="24"/>
              </w:rPr>
            </w:pPr>
            <w:r>
              <w:rPr>
                <w:rFonts w:hint="default" w:ascii="Times New Roman" w:hAnsi="Times New Roman" w:cs="Times New Roman"/>
                <w:i w:val="0"/>
                <w:iCs w:val="0"/>
                <w:color w:val="auto"/>
                <w:sz w:val="24"/>
                <w:szCs w:val="24"/>
                <w:u w:val="none"/>
                <w:vertAlign w:val="baseline"/>
              </w:rPr>
              <w:t>Tiêu chí 2 </w:t>
            </w:r>
          </w:p>
        </w:tc>
        <w:tc>
          <w:tcPr>
            <w:tcW w:w="1308" w:type="dxa"/>
          </w:tcPr>
          <w:p w14:paraId="531B181A">
            <w:pPr>
              <w:widowControl w:val="0"/>
              <w:spacing w:line="276" w:lineRule="auto"/>
              <w:rPr>
                <w:rFonts w:hint="default"/>
                <w:color w:val="auto"/>
                <w:sz w:val="24"/>
                <w:szCs w:val="24"/>
                <w:lang w:val="en-US"/>
              </w:rPr>
            </w:pPr>
            <w:r>
              <w:rPr>
                <w:rFonts w:hint="default"/>
                <w:color w:val="auto"/>
                <w:sz w:val="24"/>
                <w:szCs w:val="24"/>
                <w:lang w:val="en-US"/>
              </w:rPr>
              <w:t>Bổ sung mới</w:t>
            </w:r>
          </w:p>
        </w:tc>
        <w:tc>
          <w:tcPr>
            <w:tcW w:w="2410" w:type="dxa"/>
          </w:tcPr>
          <w:p w14:paraId="24C5957E">
            <w:pPr>
              <w:widowControl w:val="0"/>
              <w:spacing w:line="276" w:lineRule="auto"/>
              <w:ind w:firstLine="284"/>
              <w:jc w:val="both"/>
              <w:rPr>
                <w:rFonts w:hint="default"/>
                <w:color w:val="auto"/>
                <w:sz w:val="24"/>
                <w:szCs w:val="24"/>
                <w:lang w:val="en-US"/>
              </w:rPr>
            </w:pPr>
          </w:p>
        </w:tc>
      </w:tr>
      <w:tr w14:paraId="60BBB9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65" w:hRule="atLeast"/>
          <w:jc w:val="center"/>
        </w:trPr>
        <w:tc>
          <w:tcPr>
            <w:tcW w:w="704" w:type="dxa"/>
          </w:tcPr>
          <w:p w14:paraId="7F64A043">
            <w:pPr>
              <w:numPr>
                <w:ilvl w:val="0"/>
                <w:numId w:val="1"/>
              </w:numPr>
              <w:tabs>
                <w:tab w:val="left" w:pos="425"/>
              </w:tabs>
              <w:ind w:left="501" w:leftChars="0" w:firstLineChars="0"/>
              <w:rPr>
                <w:color w:val="auto"/>
                <w:sz w:val="24"/>
                <w:szCs w:val="24"/>
              </w:rPr>
            </w:pPr>
          </w:p>
        </w:tc>
        <w:tc>
          <w:tcPr>
            <w:tcW w:w="1843" w:type="dxa"/>
          </w:tcPr>
          <w:p w14:paraId="7AEF29D8">
            <w:pPr>
              <w:jc w:val="both"/>
              <w:rPr>
                <w:color w:val="auto"/>
                <w:sz w:val="24"/>
                <w:szCs w:val="24"/>
              </w:rPr>
            </w:pPr>
            <w:r>
              <w:rPr>
                <w:color w:val="auto"/>
                <w:sz w:val="24"/>
                <w:szCs w:val="24"/>
              </w:rPr>
              <w:t xml:space="preserve">Thông tư số 10/2025/TT-BKHCN ngày 27/6/2025 hướng dẫn chức năng, nhiệm vụ, quyền hạn của cơ quan chuyên môn thuộc Ủy ban nhân dân cấp tỉnh, cấp xã về các lĩnh vực thuộc phạm vi quản lý nhà nước của Bộ Khoa học và Công nghệ; </w:t>
            </w:r>
            <w:r>
              <w:rPr>
                <w:color w:val="auto"/>
                <w:sz w:val="24"/>
                <w:szCs w:val="24"/>
              </w:rPr>
              <w:br w:type="textWrapping"/>
            </w:r>
            <w:r>
              <w:rPr>
                <w:color w:val="auto"/>
                <w:sz w:val="24"/>
                <w:szCs w:val="24"/>
              </w:rPr>
              <w:t>“khoản 2 Điều 5 về nhiệm vụ, quyền hạn của đơn vị sự nghiệp công lập thực hiện hoạt động nghiên cứu, hoạt động sự nghiệp, dịch vụ trong ứng dụng tiến bộ khoa học kỹ thuật và công nghệ.”</w:t>
            </w:r>
          </w:p>
        </w:tc>
        <w:tc>
          <w:tcPr>
            <w:tcW w:w="1417" w:type="dxa"/>
          </w:tcPr>
          <w:p w14:paraId="5290A90C">
            <w:pPr>
              <w:jc w:val="both"/>
              <w:rPr>
                <w:color w:val="auto"/>
                <w:sz w:val="24"/>
                <w:szCs w:val="24"/>
              </w:rPr>
            </w:pPr>
            <w:r>
              <w:rPr>
                <w:color w:val="auto"/>
                <w:sz w:val="24"/>
                <w:szCs w:val="24"/>
              </w:rPr>
              <w:t>Tình hình thực tiễn</w:t>
            </w:r>
          </w:p>
        </w:tc>
        <w:tc>
          <w:tcPr>
            <w:tcW w:w="4051" w:type="dxa"/>
          </w:tcPr>
          <w:p w14:paraId="1F12B098">
            <w:pPr>
              <w:jc w:val="both"/>
              <w:rPr>
                <w:color w:val="auto"/>
                <w:sz w:val="24"/>
                <w:szCs w:val="24"/>
              </w:rPr>
            </w:pPr>
            <w:r>
              <w:rPr>
                <w:color w:val="auto"/>
                <w:sz w:val="24"/>
                <w:szCs w:val="24"/>
              </w:rPr>
              <w:t>Khoản 2 Điều 5 Thông tư số 10/2025/TT-BKHCN đã quy định nhiệm vụ, quyền hạn của Trung tâm Ứng dụng tiến bộ khoa học và công nghệ trong nghiên cứu ứng dụng, triển khai, chuyển giao công nghệ, dịch vụ khoa học và công nghệ; trong đó có cung cấp dịch vụ chuyển giao công nghệ, đánh giá trình độ và năng lực công nghệ, hỗ trợ xây dựng lộ trình đổi mới công nghệ, hỗ trợ đổi mới công nghệ, hỗ trợ chuyển giao công nghệ, tư vấn, môi giới, xúc tiến chuyển giao công nghệ.</w:t>
            </w:r>
          </w:p>
          <w:p w14:paraId="7A3E0ED9">
            <w:pPr>
              <w:jc w:val="both"/>
              <w:rPr>
                <w:color w:val="auto"/>
                <w:sz w:val="24"/>
                <w:szCs w:val="24"/>
              </w:rPr>
            </w:pPr>
            <w:r>
              <w:rPr>
                <w:color w:val="auto"/>
                <w:sz w:val="24"/>
                <w:szCs w:val="24"/>
              </w:rPr>
              <w:t>Tuy nhiên, quy định hiện hành chưa nêu rõ nhiệm vụ cung cấp dịch vụ hỗ trợ hoạt động của tổ chức trung gian của thị trường khoa học và công nghệ; chưa nêu rõ nhiệm vụ cung cấp dịch vụ thẩm định công nghệ trong trường hợp tổ chức, cá nhân có nhu cầu thẩm định công nghệ do mình nghiên cứu tạo ra hoặc công nghệ do mình đầu tư nhằm ứng dụng trong sản xuất, kinh doanh.</w:t>
            </w:r>
          </w:p>
          <w:p w14:paraId="505F7F0C">
            <w:pPr>
              <w:jc w:val="both"/>
              <w:rPr>
                <w:color w:val="auto"/>
                <w:sz w:val="24"/>
                <w:szCs w:val="24"/>
              </w:rPr>
            </w:pPr>
            <w:r>
              <w:rPr>
                <w:color w:val="auto"/>
                <w:sz w:val="24"/>
                <w:szCs w:val="24"/>
              </w:rPr>
              <w:t>Việc chưa quy định rõ có thể gây khó khăn cho Trung tâm Ứng dụng khi xây dựng chức năng, nhiệm vụ cụ thể, tổ chức cung cấp dịch vụ sự nghiệp công, lập dự toán, ký hợp đồng dịch vụ và triển khai hoạt động hỗ trợ thị trường khoa học và công nghệ tại địa phương.</w:t>
            </w:r>
          </w:p>
        </w:tc>
        <w:tc>
          <w:tcPr>
            <w:tcW w:w="1394" w:type="dxa"/>
          </w:tcPr>
          <w:p w14:paraId="311EAB59">
            <w:pPr>
              <w:jc w:val="both"/>
              <w:rPr>
                <w:color w:val="auto"/>
                <w:sz w:val="24"/>
                <w:szCs w:val="24"/>
              </w:rPr>
            </w:pPr>
            <w:r>
              <w:rPr>
                <w:color w:val="auto"/>
                <w:sz w:val="24"/>
                <w:szCs w:val="24"/>
              </w:rPr>
              <w:t>Sửa đổi, bổ sung</w:t>
            </w:r>
          </w:p>
        </w:tc>
        <w:tc>
          <w:tcPr>
            <w:tcW w:w="1275" w:type="dxa"/>
          </w:tcPr>
          <w:p w14:paraId="25180E49">
            <w:pPr>
              <w:jc w:val="center"/>
              <w:rPr>
                <w:color w:val="auto"/>
                <w:sz w:val="24"/>
                <w:szCs w:val="24"/>
              </w:rPr>
            </w:pPr>
            <w:r>
              <w:rPr>
                <w:rFonts w:hint="default"/>
                <w:color w:val="auto"/>
                <w:sz w:val="24"/>
                <w:szCs w:val="24"/>
                <w:lang w:val="en-US"/>
              </w:rPr>
              <w:t>Tháng 12/</w:t>
            </w:r>
            <w:r>
              <w:rPr>
                <w:color w:val="auto"/>
                <w:sz w:val="24"/>
                <w:szCs w:val="24"/>
              </w:rPr>
              <w:t>2027</w:t>
            </w:r>
          </w:p>
        </w:tc>
        <w:tc>
          <w:tcPr>
            <w:tcW w:w="1245" w:type="dxa"/>
          </w:tcPr>
          <w:p w14:paraId="0A574AF9">
            <w:pPr>
              <w:jc w:val="both"/>
              <w:rPr>
                <w:color w:val="auto"/>
                <w:sz w:val="24"/>
                <w:szCs w:val="24"/>
              </w:rPr>
            </w:pPr>
            <w:r>
              <w:rPr>
                <w:color w:val="auto"/>
                <w:sz w:val="24"/>
                <w:szCs w:val="24"/>
              </w:rPr>
              <w:t>Tiêu chí 6</w:t>
            </w:r>
          </w:p>
        </w:tc>
        <w:tc>
          <w:tcPr>
            <w:tcW w:w="1308" w:type="dxa"/>
          </w:tcPr>
          <w:p w14:paraId="759DC103">
            <w:pPr>
              <w:jc w:val="center"/>
              <w:rPr>
                <w:color w:val="auto"/>
                <w:sz w:val="24"/>
                <w:szCs w:val="24"/>
              </w:rPr>
            </w:pPr>
          </w:p>
        </w:tc>
        <w:tc>
          <w:tcPr>
            <w:tcW w:w="2410" w:type="dxa"/>
          </w:tcPr>
          <w:p w14:paraId="5E95F415">
            <w:pPr>
              <w:ind w:firstLine="284"/>
              <w:jc w:val="both"/>
              <w:rPr>
                <w:color w:val="auto"/>
                <w:sz w:val="24"/>
                <w:szCs w:val="24"/>
              </w:rPr>
            </w:pPr>
            <w:r>
              <w:rPr>
                <w:color w:val="auto"/>
                <w:sz w:val="24"/>
                <w:szCs w:val="24"/>
              </w:rPr>
              <w:t>Nhất trí.</w:t>
            </w:r>
          </w:p>
        </w:tc>
      </w:tr>
      <w:tr w14:paraId="42625F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557" w:hRule="atLeast"/>
          <w:jc w:val="center"/>
        </w:trPr>
        <w:tc>
          <w:tcPr>
            <w:tcW w:w="704" w:type="dxa"/>
            <w:vMerge w:val="restart"/>
          </w:tcPr>
          <w:p w14:paraId="3455D784">
            <w:pPr>
              <w:numPr>
                <w:ilvl w:val="0"/>
                <w:numId w:val="1"/>
              </w:numPr>
              <w:tabs>
                <w:tab w:val="left" w:pos="425"/>
              </w:tabs>
              <w:ind w:left="501" w:leftChars="0" w:firstLineChars="0"/>
              <w:jc w:val="center"/>
              <w:rPr>
                <w:color w:val="auto"/>
                <w:sz w:val="24"/>
                <w:szCs w:val="24"/>
              </w:rPr>
            </w:pPr>
          </w:p>
        </w:tc>
        <w:tc>
          <w:tcPr>
            <w:tcW w:w="1843" w:type="dxa"/>
            <w:vMerge w:val="restart"/>
          </w:tcPr>
          <w:p w14:paraId="4B5AA951">
            <w:pPr>
              <w:spacing w:before="120"/>
              <w:jc w:val="both"/>
              <w:rPr>
                <w:color w:val="auto"/>
                <w:sz w:val="24"/>
                <w:szCs w:val="24"/>
              </w:rPr>
            </w:pPr>
            <w:r>
              <w:rPr>
                <w:color w:val="auto"/>
                <w:sz w:val="24"/>
                <w:szCs w:val="24"/>
              </w:rPr>
              <w:t>Thông tư số 39/2025/TT-BKHCN ngày 30/11/2025 của Bộ trưởng Bộ Khoa học và Công nghệ quy định chi tiết và hướng dẫn về lập dự toán, quản lý sử dụng và quyết toán một số nội dung chi ngân sách nhà nước thực hiện nhiệm vụ khoa học, công nghệ và đổi mới sáng tạo</w:t>
            </w:r>
          </w:p>
        </w:tc>
        <w:tc>
          <w:tcPr>
            <w:tcW w:w="1417" w:type="dxa"/>
          </w:tcPr>
          <w:p w14:paraId="7BF86DC4">
            <w:pPr>
              <w:spacing w:before="120"/>
              <w:jc w:val="both"/>
              <w:rPr>
                <w:color w:val="auto"/>
                <w:sz w:val="24"/>
                <w:szCs w:val="24"/>
              </w:rPr>
            </w:pPr>
            <w:r>
              <w:rPr>
                <w:color w:val="auto"/>
                <w:sz w:val="24"/>
                <w:szCs w:val="24"/>
              </w:rPr>
              <w:t>Tình hình thực tiễn</w:t>
            </w:r>
          </w:p>
        </w:tc>
        <w:tc>
          <w:tcPr>
            <w:tcW w:w="4051" w:type="dxa"/>
          </w:tcPr>
          <w:p w14:paraId="31654435">
            <w:pPr>
              <w:spacing w:after="120"/>
              <w:ind w:right="134"/>
              <w:jc w:val="both"/>
              <w:rPr>
                <w:color w:val="auto"/>
                <w:sz w:val="24"/>
                <w:szCs w:val="24"/>
              </w:rPr>
            </w:pPr>
            <w:r>
              <w:rPr>
                <w:rFonts w:hint="default"/>
                <w:color w:val="auto"/>
                <w:sz w:val="24"/>
                <w:szCs w:val="24"/>
                <w:lang w:val="en-US"/>
              </w:rPr>
              <w:t>Hiện chưa có mục chi phù hợp với hoạt động lan tỏa, phổ biến tri thức khoa học và công nghệ, vì vậy, cần b</w:t>
            </w:r>
            <w:r>
              <w:rPr>
                <w:color w:val="auto"/>
                <w:sz w:val="24"/>
                <w:szCs w:val="24"/>
              </w:rPr>
              <w:t>ổ sung khoản mới tại Điều 38 Thông tư 39/2025/TT-BKHCN</w:t>
            </w:r>
            <w:r>
              <w:rPr>
                <w:rFonts w:hint="default"/>
                <w:color w:val="auto"/>
                <w:sz w:val="24"/>
                <w:szCs w:val="24"/>
                <w:lang w:val="en-US"/>
              </w:rPr>
              <w:t xml:space="preserve"> </w:t>
            </w:r>
            <w:r>
              <w:rPr>
                <w:color w:val="auto"/>
                <w:sz w:val="24"/>
                <w:szCs w:val="24"/>
              </w:rPr>
              <w:t>để hướng dẫn chi đối với nội dung chi hỗ trợ hoạt động truyển thông KHCN&amp;ĐMST, phổ biến tri thức và hỗ trợ hoạt động xuất bản khoa học</w:t>
            </w:r>
          </w:p>
        </w:tc>
        <w:tc>
          <w:tcPr>
            <w:tcW w:w="1394" w:type="dxa"/>
          </w:tcPr>
          <w:p w14:paraId="424D811D">
            <w:pPr>
              <w:jc w:val="both"/>
              <w:rPr>
                <w:color w:val="auto"/>
                <w:sz w:val="24"/>
                <w:szCs w:val="24"/>
              </w:rPr>
            </w:pPr>
            <w:r>
              <w:rPr>
                <w:color w:val="auto"/>
                <w:sz w:val="24"/>
                <w:szCs w:val="24"/>
              </w:rPr>
              <w:t>Văn bản sửa đổi, bổ sung, đồng thời bổ sung hướng dẫn chi đối với nội dung chi bổ sung tại Khoản 3 Điều 6 Nghị định số 265</w:t>
            </w:r>
          </w:p>
        </w:tc>
        <w:tc>
          <w:tcPr>
            <w:tcW w:w="1275" w:type="dxa"/>
          </w:tcPr>
          <w:p w14:paraId="6B1BC677">
            <w:pPr>
              <w:jc w:val="center"/>
              <w:rPr>
                <w:color w:val="auto"/>
                <w:sz w:val="24"/>
                <w:szCs w:val="24"/>
              </w:rPr>
            </w:pPr>
            <w:r>
              <w:rPr>
                <w:rFonts w:hint="default"/>
                <w:color w:val="auto"/>
                <w:sz w:val="24"/>
                <w:szCs w:val="24"/>
                <w:lang w:val="en-US"/>
              </w:rPr>
              <w:t>Tháng 12/</w:t>
            </w:r>
            <w:r>
              <w:rPr>
                <w:color w:val="auto"/>
                <w:sz w:val="24"/>
                <w:szCs w:val="24"/>
              </w:rPr>
              <w:t>2027</w:t>
            </w:r>
          </w:p>
        </w:tc>
        <w:tc>
          <w:tcPr>
            <w:tcW w:w="1245" w:type="dxa"/>
          </w:tcPr>
          <w:p w14:paraId="219519AF">
            <w:pPr>
              <w:jc w:val="center"/>
              <w:rPr>
                <w:color w:val="auto"/>
                <w:sz w:val="24"/>
                <w:szCs w:val="24"/>
              </w:rPr>
            </w:pPr>
            <w:r>
              <w:rPr>
                <w:color w:val="auto"/>
                <w:sz w:val="24"/>
                <w:szCs w:val="24"/>
              </w:rPr>
              <w:t>Tiêu chí 6</w:t>
            </w:r>
          </w:p>
        </w:tc>
        <w:tc>
          <w:tcPr>
            <w:tcW w:w="1308" w:type="dxa"/>
            <w:vMerge w:val="restart"/>
          </w:tcPr>
          <w:p w14:paraId="4F5804FF">
            <w:pPr>
              <w:jc w:val="center"/>
              <w:rPr>
                <w:color w:val="auto"/>
                <w:sz w:val="24"/>
                <w:szCs w:val="24"/>
              </w:rPr>
            </w:pPr>
          </w:p>
        </w:tc>
        <w:tc>
          <w:tcPr>
            <w:tcW w:w="2410" w:type="dxa"/>
          </w:tcPr>
          <w:p w14:paraId="14F59995">
            <w:pPr>
              <w:ind w:firstLine="284"/>
              <w:jc w:val="both"/>
              <w:rPr>
                <w:color w:val="auto"/>
                <w:sz w:val="24"/>
                <w:szCs w:val="24"/>
              </w:rPr>
            </w:pPr>
            <w:r>
              <w:rPr>
                <w:color w:val="auto"/>
                <w:sz w:val="24"/>
                <w:szCs w:val="24"/>
              </w:rPr>
              <w:t>Cần làm rõ, hoàn thiện thêm các nội dung quy định cần xử lý.</w:t>
            </w:r>
          </w:p>
        </w:tc>
      </w:tr>
      <w:tr w14:paraId="6EBAF5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84" w:hRule="atLeast"/>
          <w:jc w:val="center"/>
        </w:trPr>
        <w:tc>
          <w:tcPr>
            <w:tcW w:w="704" w:type="dxa"/>
            <w:vMerge w:val="continue"/>
          </w:tcPr>
          <w:p w14:paraId="55985DEF">
            <w:pPr>
              <w:widowControl w:val="0"/>
              <w:spacing w:line="276" w:lineRule="auto"/>
              <w:rPr>
                <w:color w:val="auto"/>
                <w:sz w:val="24"/>
                <w:szCs w:val="24"/>
              </w:rPr>
            </w:pPr>
          </w:p>
        </w:tc>
        <w:tc>
          <w:tcPr>
            <w:tcW w:w="1843" w:type="dxa"/>
            <w:vMerge w:val="continue"/>
          </w:tcPr>
          <w:p w14:paraId="6430AD61">
            <w:pPr>
              <w:widowControl w:val="0"/>
              <w:spacing w:line="276" w:lineRule="auto"/>
              <w:rPr>
                <w:color w:val="auto"/>
                <w:sz w:val="24"/>
                <w:szCs w:val="24"/>
              </w:rPr>
            </w:pPr>
          </w:p>
        </w:tc>
        <w:tc>
          <w:tcPr>
            <w:tcW w:w="1417" w:type="dxa"/>
          </w:tcPr>
          <w:p w14:paraId="3DC1B116">
            <w:pPr>
              <w:spacing w:before="120"/>
              <w:jc w:val="both"/>
              <w:rPr>
                <w:rFonts w:hint="default"/>
                <w:color w:val="auto"/>
                <w:sz w:val="24"/>
                <w:szCs w:val="24"/>
                <w:lang w:val="en-US"/>
              </w:rPr>
            </w:pPr>
            <w:r>
              <w:rPr>
                <w:color w:val="auto"/>
                <w:sz w:val="24"/>
                <w:szCs w:val="24"/>
              </w:rPr>
              <w:t>Nghị định số 267/2025/NĐ-CP</w:t>
            </w:r>
            <w:r>
              <w:rPr>
                <w:rFonts w:hint="default"/>
                <w:color w:val="auto"/>
                <w:sz w:val="24"/>
                <w:szCs w:val="24"/>
                <w:lang w:val="en-US"/>
              </w:rPr>
              <w:t xml:space="preserve"> </w:t>
            </w:r>
            <w:r>
              <w:rPr>
                <w:color w:val="auto"/>
                <w:sz w:val="24"/>
                <w:szCs w:val="24"/>
              </w:rPr>
              <w:t xml:space="preserve"> ngày 14/10/2025 của Chính phủ quy định chi tiết và hướng dẫn một số điều của Luật Khoa học, công nghệ và đổi mới sáng tạo về chương trình nhiệm vụ khoa học công nghệ và đổi mới sáng tạo và một số quy định về thúc đẩy hoạt động nghiên cứu khoa học phát triển công nghệ và đổi mới sáng tạo</w:t>
            </w:r>
          </w:p>
        </w:tc>
        <w:tc>
          <w:tcPr>
            <w:tcW w:w="4051" w:type="dxa"/>
          </w:tcPr>
          <w:p w14:paraId="01742192">
            <w:pPr>
              <w:spacing w:after="120"/>
              <w:ind w:right="-33"/>
              <w:jc w:val="both"/>
              <w:rPr>
                <w:color w:val="auto"/>
                <w:sz w:val="24"/>
                <w:szCs w:val="24"/>
              </w:rPr>
            </w:pPr>
            <w:r>
              <w:rPr>
                <w:color w:val="auto"/>
                <w:sz w:val="24"/>
                <w:szCs w:val="24"/>
              </w:rPr>
              <w:t>Khoản 1, Điều 44, Thông tư số 39/2025/TT-BKHCN quy định: “Đối với nhiệm vụ khoa học và công nghệ đã được phê duyệt theo quy định tại các khoản 1 và khoản 2 Điều 73 Luật Khoa học, Công nghệ và đổi mới sáng tạo số 93/2025/QH15 tiếp tục thực hiện theo quy định Luật Khoa học và công nghệ số 29/2013/QH13 và văn bản quy định chi tiết, hướng dẫn thi hành Luật Khoa học và công nghệ số 29/2013/QH13.”</w:t>
            </w:r>
          </w:p>
          <w:p w14:paraId="0DDB3F4C">
            <w:pPr>
              <w:spacing w:after="120"/>
              <w:ind w:right="-33"/>
              <w:jc w:val="both"/>
              <w:rPr>
                <w:color w:val="auto"/>
                <w:sz w:val="24"/>
                <w:szCs w:val="24"/>
              </w:rPr>
            </w:pPr>
            <w:r>
              <w:rPr>
                <w:color w:val="auto"/>
                <w:sz w:val="24"/>
                <w:szCs w:val="24"/>
              </w:rPr>
              <w:t>Tuy nhiên, khoản 1 Điều 56 Nghị định số 267/2025/NĐ-CP ngày 14 tháng 10 năm 2025 có nội dung quy định: “1. Đối với đề xuất nhiệm vụ khoa học và công nghệ, đề xuất đặt hàng nhiệm vụ khoa học và công nghệ đã nộp cho cơ quan nhà nước có thẩm quyền nhưng đến ngày 01 tháng 10 năm 2025 chưa được cơ quan nhà nước có thẩm quyền phê duyệt giao tổ chức chủ trì thực hiện nhiệm vụ thì trình tự, thủ tục xác định, tuyển chọn, giao trực tiếp, phê duyệt nhiệm vụ khoa học và công nghệ được tiếp tục thực hiện theo quy định của Luật Khoa học và công nghệ và văn bản quy định chi tiết, hướng dẫn thi hành Luật Khoa học và công nghệ.”</w:t>
            </w:r>
          </w:p>
          <w:p w14:paraId="1A4AAEBE">
            <w:pPr>
              <w:spacing w:after="120"/>
              <w:ind w:right="-33"/>
              <w:jc w:val="both"/>
              <w:rPr>
                <w:color w:val="auto"/>
                <w:sz w:val="24"/>
                <w:szCs w:val="24"/>
              </w:rPr>
            </w:pPr>
            <w:r>
              <w:rPr>
                <w:color w:val="auto"/>
                <w:sz w:val="24"/>
                <w:szCs w:val="24"/>
              </w:rPr>
              <w:t xml:space="preserve">Như vậy, một số nhiệm vụ được đề xuất trước ngày 01/10/2025, đến ngày 01/01/2026 mà chưa được phê duyệt thì phải thực hiện các Quy định tại Thông tư 39/2025/TT-BKHCN. Tuy nhiên, theo Nghị định số 267/2025/NĐ-CP thì được tiếp tục thực hiện theo quy định trước đó (theo Luật Khoa học và công nghệ và văn bản quy định chi tiết, hướng dẫn thi hành). </w:t>
            </w:r>
          </w:p>
        </w:tc>
        <w:tc>
          <w:tcPr>
            <w:tcW w:w="1394" w:type="dxa"/>
          </w:tcPr>
          <w:p w14:paraId="71A1DFD7">
            <w:pPr>
              <w:jc w:val="center"/>
              <w:rPr>
                <w:color w:val="auto"/>
                <w:sz w:val="24"/>
                <w:szCs w:val="24"/>
              </w:rPr>
            </w:pPr>
            <w:r>
              <w:rPr>
                <w:color w:val="auto"/>
                <w:sz w:val="24"/>
                <w:szCs w:val="24"/>
              </w:rPr>
              <w:t>Bãi bỏ một phần</w:t>
            </w:r>
          </w:p>
        </w:tc>
        <w:tc>
          <w:tcPr>
            <w:tcW w:w="1275" w:type="dxa"/>
          </w:tcPr>
          <w:p w14:paraId="5B567CD0">
            <w:pPr>
              <w:jc w:val="center"/>
              <w:rPr>
                <w:color w:val="auto"/>
                <w:sz w:val="24"/>
                <w:szCs w:val="24"/>
              </w:rPr>
            </w:pPr>
            <w:r>
              <w:rPr>
                <w:rFonts w:hint="default"/>
                <w:color w:val="auto"/>
                <w:sz w:val="24"/>
                <w:szCs w:val="24"/>
                <w:lang w:val="en-US"/>
              </w:rPr>
              <w:t>Tháng 12/</w:t>
            </w:r>
            <w:r>
              <w:rPr>
                <w:color w:val="auto"/>
                <w:sz w:val="24"/>
                <w:szCs w:val="24"/>
              </w:rPr>
              <w:t>2027</w:t>
            </w:r>
          </w:p>
        </w:tc>
        <w:tc>
          <w:tcPr>
            <w:tcW w:w="1245" w:type="dxa"/>
          </w:tcPr>
          <w:p w14:paraId="0DD3E8E5">
            <w:pPr>
              <w:jc w:val="center"/>
              <w:rPr>
                <w:color w:val="auto"/>
                <w:sz w:val="24"/>
                <w:szCs w:val="24"/>
              </w:rPr>
            </w:pPr>
            <w:r>
              <w:rPr>
                <w:color w:val="auto"/>
                <w:sz w:val="24"/>
                <w:szCs w:val="24"/>
              </w:rPr>
              <w:t>Tiêu chí 2</w:t>
            </w:r>
          </w:p>
        </w:tc>
        <w:tc>
          <w:tcPr>
            <w:tcW w:w="1308" w:type="dxa"/>
            <w:vMerge w:val="continue"/>
          </w:tcPr>
          <w:p w14:paraId="6068373F">
            <w:pPr>
              <w:widowControl w:val="0"/>
              <w:spacing w:line="276" w:lineRule="auto"/>
              <w:rPr>
                <w:color w:val="auto"/>
                <w:sz w:val="24"/>
                <w:szCs w:val="24"/>
              </w:rPr>
            </w:pPr>
          </w:p>
        </w:tc>
        <w:tc>
          <w:tcPr>
            <w:tcW w:w="2410" w:type="dxa"/>
          </w:tcPr>
          <w:p w14:paraId="1B4453E7">
            <w:pPr>
              <w:widowControl w:val="0"/>
              <w:spacing w:line="276" w:lineRule="auto"/>
              <w:ind w:firstLine="284"/>
              <w:jc w:val="both"/>
              <w:rPr>
                <w:color w:val="auto"/>
                <w:sz w:val="24"/>
                <w:szCs w:val="24"/>
              </w:rPr>
            </w:pPr>
            <w:r>
              <w:rPr>
                <w:color w:val="auto"/>
                <w:sz w:val="24"/>
                <w:szCs w:val="24"/>
              </w:rPr>
              <w:t>Nhất trí.</w:t>
            </w:r>
          </w:p>
        </w:tc>
      </w:tr>
      <w:tr w14:paraId="7FA194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84" w:hRule="atLeast"/>
          <w:jc w:val="center"/>
        </w:trPr>
        <w:tc>
          <w:tcPr>
            <w:tcW w:w="704" w:type="dxa"/>
            <w:vMerge w:val="continue"/>
          </w:tcPr>
          <w:p w14:paraId="39E62722">
            <w:pPr>
              <w:widowControl w:val="0"/>
              <w:spacing w:line="276" w:lineRule="auto"/>
              <w:rPr>
                <w:color w:val="auto"/>
                <w:sz w:val="24"/>
                <w:szCs w:val="24"/>
              </w:rPr>
            </w:pPr>
          </w:p>
        </w:tc>
        <w:tc>
          <w:tcPr>
            <w:tcW w:w="1843" w:type="dxa"/>
            <w:vMerge w:val="continue"/>
          </w:tcPr>
          <w:p w14:paraId="0F2622A9">
            <w:pPr>
              <w:widowControl w:val="0"/>
              <w:spacing w:line="276" w:lineRule="auto"/>
              <w:rPr>
                <w:color w:val="auto"/>
                <w:sz w:val="24"/>
                <w:szCs w:val="24"/>
              </w:rPr>
            </w:pPr>
          </w:p>
        </w:tc>
        <w:tc>
          <w:tcPr>
            <w:tcW w:w="1417" w:type="dxa"/>
            <w:vMerge w:val="restart"/>
          </w:tcPr>
          <w:p w14:paraId="56972498">
            <w:pPr>
              <w:spacing w:before="120"/>
              <w:jc w:val="both"/>
              <w:rPr>
                <w:color w:val="auto"/>
                <w:sz w:val="24"/>
                <w:szCs w:val="24"/>
              </w:rPr>
            </w:pPr>
            <w:r>
              <w:rPr>
                <w:color w:val="auto"/>
                <w:sz w:val="24"/>
                <w:szCs w:val="24"/>
              </w:rPr>
              <w:t>Tình hình thực tiễn</w:t>
            </w:r>
          </w:p>
        </w:tc>
        <w:tc>
          <w:tcPr>
            <w:tcW w:w="4051" w:type="dxa"/>
            <w:vMerge w:val="restart"/>
          </w:tcPr>
          <w:p w14:paraId="4DAC8DA8">
            <w:pPr>
              <w:ind w:right="-33"/>
              <w:jc w:val="both"/>
              <w:rPr>
                <w:rFonts w:hint="default"/>
                <w:color w:val="auto"/>
                <w:sz w:val="24"/>
                <w:szCs w:val="24"/>
                <w:lang w:val="en-US"/>
              </w:rPr>
            </w:pPr>
            <w:r>
              <w:rPr>
                <w:color w:val="auto"/>
                <w:sz w:val="24"/>
                <w:szCs w:val="24"/>
              </w:rPr>
              <w:t>Nội dung hiện nay tại</w:t>
            </w:r>
            <w:r>
              <w:rPr>
                <w:rFonts w:hint="default"/>
                <w:color w:val="auto"/>
                <w:sz w:val="24"/>
                <w:szCs w:val="24"/>
                <w:lang w:val="en-US"/>
              </w:rPr>
              <w:t xml:space="preserve"> điểm c3</w:t>
            </w:r>
            <w:r>
              <w:rPr>
                <w:color w:val="auto"/>
                <w:sz w:val="24"/>
                <w:szCs w:val="24"/>
              </w:rPr>
              <w:t xml:space="preserve"> </w:t>
            </w:r>
            <w:r>
              <w:rPr>
                <w:rFonts w:hint="default"/>
                <w:color w:val="auto"/>
                <w:sz w:val="24"/>
                <w:szCs w:val="24"/>
                <w:lang w:val="en-US"/>
              </w:rPr>
              <w:t xml:space="preserve">khoản 2 Điều 4 </w:t>
            </w:r>
            <w:r>
              <w:rPr>
                <w:color w:val="auto"/>
                <w:sz w:val="24"/>
                <w:szCs w:val="24"/>
              </w:rPr>
              <w:t>Thông tư 39</w:t>
            </w:r>
            <w:r>
              <w:rPr>
                <w:rFonts w:hint="default"/>
                <w:color w:val="auto"/>
                <w:sz w:val="24"/>
                <w:szCs w:val="24"/>
                <w:lang w:val="en-US"/>
              </w:rPr>
              <w:t>/2025/TT-BKHCN</w:t>
            </w:r>
            <w:r>
              <w:rPr>
                <w:color w:val="auto"/>
                <w:sz w:val="24"/>
                <w:szCs w:val="24"/>
              </w:rPr>
              <w:t xml:space="preserve"> quy định đối với nhiệm vụ ĐMST do doanh nghiệp thực hiện, NSNN không bảo đảm kinh phí cho các nội dung chi quy định tại điểm b khoản 2 Điều 15 Nghị định số 265/2025/NĐ-CP. Tuy nhiên, tại điểm b khoản 2 Điều 15 Nghị định số 265</w:t>
            </w:r>
            <w:r>
              <w:rPr>
                <w:rFonts w:hint="default"/>
                <w:color w:val="auto"/>
                <w:sz w:val="24"/>
                <w:szCs w:val="24"/>
                <w:lang w:val="en-US"/>
              </w:rPr>
              <w:t>/2025/NĐ-CP</w:t>
            </w:r>
            <w:r>
              <w:rPr>
                <w:color w:val="auto"/>
                <w:sz w:val="24"/>
                <w:szCs w:val="24"/>
              </w:rPr>
              <w:t xml:space="preserve"> quy định các khoản chi của chính doanh nghiệp cho hoạt động ĐMST trong doanh nghiệp để được tính vào chi phí được trừ khi xác định thu nhập chịu thuế, gồm: tiền lương, thuê chuyên gia, dịch vụ ĐMST, không gian số, sản xuất thử nghiệm, làm sản phẩm mẫu, kiểm thử sản phẩm, huấn luyện, hội chợ, triển lãm… Đây là nhóm chi rất rộng và cũng chính là các nội dung cốt lõi của nhiệm vụ ĐMST. Do đó, khi Thông tư số 39</w:t>
            </w:r>
            <w:r>
              <w:rPr>
                <w:rFonts w:hint="default"/>
                <w:color w:val="auto"/>
                <w:sz w:val="24"/>
                <w:szCs w:val="24"/>
                <w:lang w:val="en-US"/>
              </w:rPr>
              <w:t>/2025/TT-BKHCN</w:t>
            </w:r>
            <w:r>
              <w:rPr>
                <w:color w:val="auto"/>
                <w:sz w:val="24"/>
                <w:szCs w:val="24"/>
              </w:rPr>
              <w:t xml:space="preserve"> quy định NSNN không bảo đảm các khoản này đối với nhiệm vụ ĐMST do doanh nghiệp thực hiện, thì về thực chất có thể làm thu hẹp đáng kể phạm vi hỗ trợ NSNN cho doanh nghiệp, thậm chí loại trừ nhiều nội dung chi mà Nghị định 265</w:t>
            </w:r>
            <w:r>
              <w:rPr>
                <w:rFonts w:hint="default"/>
                <w:color w:val="auto"/>
                <w:sz w:val="24"/>
                <w:szCs w:val="24"/>
                <w:lang w:val="en-US"/>
              </w:rPr>
              <w:t>/2025/NĐ-CP</w:t>
            </w:r>
            <w:r>
              <w:rPr>
                <w:color w:val="auto"/>
                <w:sz w:val="24"/>
                <w:szCs w:val="24"/>
              </w:rPr>
              <w:t xml:space="preserve"> đã cho phép NSNN hỗ trợ tại khoản 1 và khoản 4 Điều 6.</w:t>
            </w:r>
            <w:r>
              <w:rPr>
                <w:rFonts w:hint="default"/>
                <w:color w:val="auto"/>
                <w:sz w:val="24"/>
                <w:szCs w:val="24"/>
                <w:lang w:val="en-US"/>
              </w:rPr>
              <w:t xml:space="preserve"> Cần sửa đổi, bổ sung cho đồng bộ.</w:t>
            </w:r>
          </w:p>
        </w:tc>
        <w:tc>
          <w:tcPr>
            <w:tcW w:w="1394" w:type="dxa"/>
            <w:vMerge w:val="restart"/>
          </w:tcPr>
          <w:p w14:paraId="43720EF5">
            <w:pPr>
              <w:jc w:val="center"/>
              <w:rPr>
                <w:color w:val="auto"/>
                <w:sz w:val="24"/>
                <w:szCs w:val="24"/>
              </w:rPr>
            </w:pPr>
            <w:r>
              <w:rPr>
                <w:color w:val="auto"/>
                <w:sz w:val="24"/>
                <w:szCs w:val="24"/>
              </w:rPr>
              <w:t>Sửa đổi,bổ sung</w:t>
            </w:r>
          </w:p>
        </w:tc>
        <w:tc>
          <w:tcPr>
            <w:tcW w:w="1275" w:type="dxa"/>
            <w:vMerge w:val="restart"/>
          </w:tcPr>
          <w:p w14:paraId="16C24053">
            <w:pPr>
              <w:jc w:val="center"/>
              <w:rPr>
                <w:color w:val="auto"/>
                <w:sz w:val="24"/>
                <w:szCs w:val="24"/>
              </w:rPr>
            </w:pPr>
            <w:r>
              <w:rPr>
                <w:rFonts w:hint="default"/>
                <w:color w:val="auto"/>
                <w:sz w:val="24"/>
                <w:szCs w:val="24"/>
                <w:lang w:val="en-US"/>
              </w:rPr>
              <w:t>Tháng 12/</w:t>
            </w:r>
            <w:r>
              <w:rPr>
                <w:color w:val="auto"/>
                <w:sz w:val="24"/>
                <w:szCs w:val="24"/>
              </w:rPr>
              <w:t>2027</w:t>
            </w:r>
          </w:p>
        </w:tc>
        <w:tc>
          <w:tcPr>
            <w:tcW w:w="1245" w:type="dxa"/>
            <w:vMerge w:val="restart"/>
          </w:tcPr>
          <w:p w14:paraId="5C7583BD">
            <w:pPr>
              <w:jc w:val="center"/>
              <w:rPr>
                <w:color w:val="auto"/>
                <w:sz w:val="24"/>
                <w:szCs w:val="24"/>
              </w:rPr>
            </w:pPr>
            <w:r>
              <w:rPr>
                <w:color w:val="auto"/>
                <w:sz w:val="24"/>
                <w:szCs w:val="24"/>
              </w:rPr>
              <w:t>Tiêu chí 2</w:t>
            </w:r>
          </w:p>
        </w:tc>
        <w:tc>
          <w:tcPr>
            <w:tcW w:w="1308" w:type="dxa"/>
            <w:vMerge w:val="continue"/>
          </w:tcPr>
          <w:p w14:paraId="747B479F">
            <w:pPr>
              <w:widowControl w:val="0"/>
              <w:spacing w:line="276" w:lineRule="auto"/>
              <w:rPr>
                <w:color w:val="auto"/>
                <w:sz w:val="24"/>
                <w:szCs w:val="24"/>
              </w:rPr>
            </w:pPr>
          </w:p>
        </w:tc>
        <w:tc>
          <w:tcPr>
            <w:tcW w:w="2410" w:type="dxa"/>
          </w:tcPr>
          <w:p w14:paraId="5AC0BF30">
            <w:pPr>
              <w:widowControl w:val="0"/>
              <w:spacing w:line="276" w:lineRule="auto"/>
              <w:ind w:firstLine="284"/>
              <w:jc w:val="both"/>
              <w:rPr>
                <w:color w:val="auto"/>
                <w:sz w:val="24"/>
                <w:szCs w:val="24"/>
              </w:rPr>
            </w:pPr>
          </w:p>
        </w:tc>
      </w:tr>
      <w:tr w14:paraId="11896B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84" w:hRule="atLeast"/>
          <w:jc w:val="center"/>
        </w:trPr>
        <w:tc>
          <w:tcPr>
            <w:tcW w:w="704" w:type="dxa"/>
            <w:vMerge w:val="continue"/>
          </w:tcPr>
          <w:p w14:paraId="70DB5480">
            <w:pPr>
              <w:widowControl w:val="0"/>
              <w:spacing w:line="276" w:lineRule="auto"/>
              <w:rPr>
                <w:color w:val="auto"/>
                <w:sz w:val="24"/>
                <w:szCs w:val="24"/>
              </w:rPr>
            </w:pPr>
          </w:p>
        </w:tc>
        <w:tc>
          <w:tcPr>
            <w:tcW w:w="1843" w:type="dxa"/>
            <w:vMerge w:val="continue"/>
          </w:tcPr>
          <w:p w14:paraId="31D6B5D0">
            <w:pPr>
              <w:widowControl w:val="0"/>
              <w:spacing w:line="276" w:lineRule="auto"/>
              <w:rPr>
                <w:color w:val="auto"/>
                <w:sz w:val="24"/>
                <w:szCs w:val="24"/>
              </w:rPr>
            </w:pPr>
          </w:p>
        </w:tc>
        <w:tc>
          <w:tcPr>
            <w:tcW w:w="1417" w:type="dxa"/>
            <w:vMerge w:val="continue"/>
          </w:tcPr>
          <w:p w14:paraId="72AA8DA4">
            <w:pPr>
              <w:spacing w:before="120"/>
              <w:jc w:val="both"/>
              <w:rPr>
                <w:color w:val="auto"/>
                <w:sz w:val="24"/>
                <w:szCs w:val="24"/>
              </w:rPr>
            </w:pPr>
          </w:p>
        </w:tc>
        <w:tc>
          <w:tcPr>
            <w:tcW w:w="4051" w:type="dxa"/>
            <w:vMerge w:val="continue"/>
          </w:tcPr>
          <w:p w14:paraId="209F2A39">
            <w:pPr>
              <w:ind w:right="-33"/>
              <w:jc w:val="both"/>
              <w:rPr>
                <w:color w:val="auto"/>
                <w:sz w:val="24"/>
                <w:szCs w:val="24"/>
              </w:rPr>
            </w:pPr>
          </w:p>
        </w:tc>
        <w:tc>
          <w:tcPr>
            <w:tcW w:w="1394" w:type="dxa"/>
            <w:vMerge w:val="continue"/>
          </w:tcPr>
          <w:p w14:paraId="0896E039">
            <w:pPr>
              <w:jc w:val="center"/>
              <w:rPr>
                <w:color w:val="auto"/>
                <w:sz w:val="24"/>
                <w:szCs w:val="24"/>
              </w:rPr>
            </w:pPr>
          </w:p>
        </w:tc>
        <w:tc>
          <w:tcPr>
            <w:tcW w:w="1275" w:type="dxa"/>
            <w:vMerge w:val="continue"/>
          </w:tcPr>
          <w:p w14:paraId="7F34059D">
            <w:pPr>
              <w:jc w:val="center"/>
              <w:rPr>
                <w:color w:val="auto"/>
                <w:sz w:val="24"/>
                <w:szCs w:val="24"/>
              </w:rPr>
            </w:pPr>
          </w:p>
        </w:tc>
        <w:tc>
          <w:tcPr>
            <w:tcW w:w="1245" w:type="dxa"/>
            <w:vMerge w:val="continue"/>
          </w:tcPr>
          <w:p w14:paraId="1707EC31">
            <w:pPr>
              <w:jc w:val="center"/>
              <w:rPr>
                <w:color w:val="auto"/>
                <w:sz w:val="24"/>
                <w:szCs w:val="24"/>
              </w:rPr>
            </w:pPr>
          </w:p>
        </w:tc>
        <w:tc>
          <w:tcPr>
            <w:tcW w:w="1308" w:type="dxa"/>
            <w:vMerge w:val="continue"/>
          </w:tcPr>
          <w:p w14:paraId="6AD8DD22">
            <w:pPr>
              <w:widowControl w:val="0"/>
              <w:spacing w:line="276" w:lineRule="auto"/>
              <w:rPr>
                <w:color w:val="auto"/>
                <w:sz w:val="24"/>
                <w:szCs w:val="24"/>
              </w:rPr>
            </w:pPr>
          </w:p>
        </w:tc>
        <w:tc>
          <w:tcPr>
            <w:tcW w:w="2410" w:type="dxa"/>
          </w:tcPr>
          <w:p w14:paraId="16C473F8">
            <w:pPr>
              <w:widowControl w:val="0"/>
              <w:spacing w:line="276" w:lineRule="auto"/>
              <w:ind w:firstLine="284"/>
              <w:jc w:val="both"/>
              <w:rPr>
                <w:color w:val="auto"/>
                <w:sz w:val="24"/>
                <w:szCs w:val="24"/>
              </w:rPr>
            </w:pPr>
          </w:p>
        </w:tc>
      </w:tr>
      <w:tr w14:paraId="5A6F91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84" w:hRule="atLeast"/>
          <w:jc w:val="center"/>
        </w:trPr>
        <w:tc>
          <w:tcPr>
            <w:tcW w:w="704" w:type="dxa"/>
            <w:vMerge w:val="continue"/>
          </w:tcPr>
          <w:p w14:paraId="4A608095">
            <w:pPr>
              <w:widowControl w:val="0"/>
              <w:spacing w:line="276" w:lineRule="auto"/>
              <w:rPr>
                <w:color w:val="auto"/>
                <w:sz w:val="24"/>
                <w:szCs w:val="24"/>
              </w:rPr>
            </w:pPr>
          </w:p>
        </w:tc>
        <w:tc>
          <w:tcPr>
            <w:tcW w:w="1843" w:type="dxa"/>
            <w:vMerge w:val="continue"/>
          </w:tcPr>
          <w:p w14:paraId="37251188">
            <w:pPr>
              <w:widowControl w:val="0"/>
              <w:spacing w:line="276" w:lineRule="auto"/>
              <w:rPr>
                <w:color w:val="auto"/>
                <w:sz w:val="24"/>
                <w:szCs w:val="24"/>
              </w:rPr>
            </w:pPr>
          </w:p>
        </w:tc>
        <w:tc>
          <w:tcPr>
            <w:tcW w:w="1417" w:type="dxa"/>
            <w:vMerge w:val="continue"/>
          </w:tcPr>
          <w:p w14:paraId="1303FA81">
            <w:pPr>
              <w:spacing w:before="120"/>
              <w:jc w:val="both"/>
              <w:rPr>
                <w:color w:val="auto"/>
                <w:sz w:val="24"/>
                <w:szCs w:val="24"/>
              </w:rPr>
            </w:pPr>
          </w:p>
        </w:tc>
        <w:tc>
          <w:tcPr>
            <w:tcW w:w="4051" w:type="dxa"/>
            <w:vMerge w:val="continue"/>
          </w:tcPr>
          <w:p w14:paraId="4B0BA1D3">
            <w:pPr>
              <w:ind w:right="-33"/>
              <w:jc w:val="both"/>
              <w:rPr>
                <w:rFonts w:hint="default"/>
                <w:color w:val="auto"/>
                <w:sz w:val="24"/>
                <w:szCs w:val="24"/>
                <w:lang w:val="en-US"/>
              </w:rPr>
            </w:pPr>
          </w:p>
        </w:tc>
        <w:tc>
          <w:tcPr>
            <w:tcW w:w="1394" w:type="dxa"/>
            <w:vMerge w:val="continue"/>
          </w:tcPr>
          <w:p w14:paraId="5DD78DDC">
            <w:pPr>
              <w:jc w:val="center"/>
              <w:rPr>
                <w:color w:val="auto"/>
                <w:sz w:val="24"/>
                <w:szCs w:val="24"/>
              </w:rPr>
            </w:pPr>
          </w:p>
        </w:tc>
        <w:tc>
          <w:tcPr>
            <w:tcW w:w="1275" w:type="dxa"/>
            <w:vMerge w:val="continue"/>
          </w:tcPr>
          <w:p w14:paraId="14186646">
            <w:pPr>
              <w:jc w:val="center"/>
              <w:rPr>
                <w:color w:val="auto"/>
                <w:sz w:val="24"/>
                <w:szCs w:val="24"/>
              </w:rPr>
            </w:pPr>
          </w:p>
        </w:tc>
        <w:tc>
          <w:tcPr>
            <w:tcW w:w="1245" w:type="dxa"/>
            <w:vMerge w:val="continue"/>
          </w:tcPr>
          <w:p w14:paraId="2071BBA0">
            <w:pPr>
              <w:jc w:val="center"/>
              <w:rPr>
                <w:color w:val="auto"/>
                <w:sz w:val="24"/>
                <w:szCs w:val="24"/>
              </w:rPr>
            </w:pPr>
          </w:p>
        </w:tc>
        <w:tc>
          <w:tcPr>
            <w:tcW w:w="1308" w:type="dxa"/>
            <w:vMerge w:val="continue"/>
          </w:tcPr>
          <w:p w14:paraId="12763D8E">
            <w:pPr>
              <w:widowControl w:val="0"/>
              <w:spacing w:line="276" w:lineRule="auto"/>
              <w:rPr>
                <w:color w:val="auto"/>
                <w:sz w:val="24"/>
                <w:szCs w:val="24"/>
              </w:rPr>
            </w:pPr>
          </w:p>
        </w:tc>
        <w:tc>
          <w:tcPr>
            <w:tcW w:w="2410" w:type="dxa"/>
          </w:tcPr>
          <w:p w14:paraId="45B6D8BF">
            <w:pPr>
              <w:widowControl w:val="0"/>
              <w:spacing w:line="276" w:lineRule="auto"/>
              <w:ind w:firstLine="284"/>
              <w:jc w:val="both"/>
              <w:rPr>
                <w:color w:val="auto"/>
                <w:sz w:val="24"/>
                <w:szCs w:val="24"/>
              </w:rPr>
            </w:pPr>
            <w:r>
              <w:rPr>
                <w:color w:val="auto"/>
                <w:sz w:val="24"/>
                <w:szCs w:val="24"/>
              </w:rPr>
              <w:t>Cần làm rõ, hoàn thiện thêm các nội dung quy định cần xử lý.</w:t>
            </w:r>
          </w:p>
          <w:p w14:paraId="7B0EC8E4">
            <w:pPr>
              <w:widowControl w:val="0"/>
              <w:spacing w:line="276" w:lineRule="auto"/>
              <w:ind w:firstLine="284"/>
              <w:jc w:val="both"/>
              <w:rPr>
                <w:color w:val="auto"/>
                <w:sz w:val="24"/>
                <w:szCs w:val="24"/>
              </w:rPr>
            </w:pPr>
          </w:p>
          <w:p w14:paraId="086D2E01">
            <w:pPr>
              <w:widowControl w:val="0"/>
              <w:spacing w:line="276" w:lineRule="auto"/>
              <w:ind w:firstLine="284"/>
              <w:jc w:val="both"/>
              <w:rPr>
                <w:color w:val="auto"/>
                <w:sz w:val="24"/>
                <w:szCs w:val="24"/>
              </w:rPr>
            </w:pPr>
          </w:p>
        </w:tc>
      </w:tr>
      <w:tr w14:paraId="52E415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117" w:hRule="atLeast"/>
          <w:jc w:val="center"/>
        </w:trPr>
        <w:tc>
          <w:tcPr>
            <w:tcW w:w="704" w:type="dxa"/>
          </w:tcPr>
          <w:p w14:paraId="57173778">
            <w:pPr>
              <w:numPr>
                <w:ilvl w:val="0"/>
                <w:numId w:val="1"/>
              </w:numPr>
              <w:tabs>
                <w:tab w:val="left" w:pos="425"/>
              </w:tabs>
              <w:ind w:left="501" w:leftChars="0" w:firstLineChars="0"/>
              <w:jc w:val="center"/>
              <w:rPr>
                <w:color w:val="auto"/>
                <w:sz w:val="24"/>
                <w:szCs w:val="24"/>
              </w:rPr>
            </w:pPr>
          </w:p>
        </w:tc>
        <w:tc>
          <w:tcPr>
            <w:tcW w:w="1843" w:type="dxa"/>
          </w:tcPr>
          <w:p w14:paraId="41A54B1F">
            <w:pPr>
              <w:spacing w:before="120"/>
              <w:jc w:val="both"/>
              <w:rPr>
                <w:color w:val="auto"/>
                <w:sz w:val="24"/>
                <w:szCs w:val="24"/>
              </w:rPr>
            </w:pPr>
            <w:r>
              <w:rPr>
                <w:color w:val="auto"/>
                <w:sz w:val="24"/>
                <w:szCs w:val="24"/>
              </w:rPr>
              <w:t>Thông tư số 36/2025/TT-BKHCN ngày 16/11/2025 quy định khung về trình tự, thủ tục xây dựng, thẩm định, ban hành, quản lý, tổ chức thực hiện chương trình khoa học, công nghệ và đổi mới sáng tạo và quy định về trình tự, thủ tục xét tài trợ, đặt hàng, ký hợp đồng, tổ chức thực hiện, chấm dứt thực hiện, thanh lý hợp đồng giao nhiệm vụ và đánh giá đối với nhiệm vụ khoa học, công nghệ và đổi mới sáng tạo</w:t>
            </w:r>
          </w:p>
        </w:tc>
        <w:tc>
          <w:tcPr>
            <w:tcW w:w="1417" w:type="dxa"/>
          </w:tcPr>
          <w:p w14:paraId="68103F87">
            <w:pPr>
              <w:spacing w:before="120"/>
              <w:jc w:val="both"/>
              <w:rPr>
                <w:rFonts w:hint="default"/>
                <w:color w:val="auto"/>
                <w:sz w:val="24"/>
                <w:szCs w:val="24"/>
                <w:lang w:val="en-US"/>
              </w:rPr>
            </w:pPr>
            <w:r>
              <w:rPr>
                <w:color w:val="auto"/>
                <w:sz w:val="24"/>
                <w:szCs w:val="24"/>
              </w:rPr>
              <w:t>Nghị định số 267/2025/NĐ-CP</w:t>
            </w:r>
            <w:r>
              <w:rPr>
                <w:rFonts w:hint="default"/>
                <w:color w:val="auto"/>
                <w:sz w:val="24"/>
                <w:szCs w:val="24"/>
                <w:lang w:val="en-US"/>
              </w:rPr>
              <w:t xml:space="preserve"> </w:t>
            </w:r>
            <w:r>
              <w:rPr>
                <w:color w:val="auto"/>
                <w:sz w:val="24"/>
                <w:szCs w:val="24"/>
              </w:rPr>
              <w:t xml:space="preserve"> ngày 14/10/2025 của Chính phủ quy định chi tiết và hướng dẫn một số điều của Luật Khoa học, công nghệ và đổi mới sáng tạo về chương trình nhiệm vụ khoa học công nghệ và đổi mới sáng tạo và một số quy định về thúc đẩy hoạt động nghiên cứu khoa học phát triển công nghệ và đổi mới sáng tạo</w:t>
            </w:r>
          </w:p>
        </w:tc>
        <w:tc>
          <w:tcPr>
            <w:tcW w:w="4051" w:type="dxa"/>
          </w:tcPr>
          <w:p w14:paraId="46EAEC2E">
            <w:pPr>
              <w:spacing w:after="120"/>
              <w:ind w:right="134"/>
              <w:jc w:val="both"/>
              <w:rPr>
                <w:color w:val="auto"/>
                <w:sz w:val="24"/>
                <w:szCs w:val="24"/>
              </w:rPr>
            </w:pPr>
            <w:r>
              <w:rPr>
                <w:color w:val="auto"/>
                <w:sz w:val="24"/>
                <w:szCs w:val="24"/>
              </w:rPr>
              <w:t xml:space="preserve">Nghị định số 267/2025/NĐ-CP không có quy định về tự đánh giá kết quả thực hiện nhiệm vụ khoa học công nghệ và đổi mới sáng tạo, trong khi Thông tư số 36/2025/TT-BKHCN lại có các biểu mẫu về tự đánh giá, dẫn đến cách hiểu khác nhau về việc bắt buộc tự đánh giá kết quả thực hiện nhiệm vụ trong quá trình triển khai </w:t>
            </w:r>
          </w:p>
        </w:tc>
        <w:tc>
          <w:tcPr>
            <w:tcW w:w="1394" w:type="dxa"/>
          </w:tcPr>
          <w:p w14:paraId="051DD828">
            <w:pPr>
              <w:jc w:val="both"/>
              <w:rPr>
                <w:color w:val="auto"/>
                <w:sz w:val="24"/>
                <w:szCs w:val="24"/>
              </w:rPr>
            </w:pPr>
            <w:r>
              <w:rPr>
                <w:color w:val="auto"/>
                <w:sz w:val="24"/>
                <w:szCs w:val="24"/>
              </w:rPr>
              <w:t>Văn bản sửa đổi, bổ sung</w:t>
            </w:r>
          </w:p>
        </w:tc>
        <w:tc>
          <w:tcPr>
            <w:tcW w:w="1275" w:type="dxa"/>
          </w:tcPr>
          <w:p w14:paraId="61F1940C">
            <w:pPr>
              <w:jc w:val="center"/>
              <w:rPr>
                <w:color w:val="auto"/>
                <w:sz w:val="24"/>
                <w:szCs w:val="24"/>
              </w:rPr>
            </w:pPr>
            <w:r>
              <w:rPr>
                <w:rFonts w:hint="default"/>
                <w:color w:val="auto"/>
                <w:sz w:val="24"/>
                <w:szCs w:val="24"/>
                <w:lang w:val="en-US"/>
              </w:rPr>
              <w:t>Tháng 12/</w:t>
            </w:r>
            <w:r>
              <w:rPr>
                <w:color w:val="auto"/>
                <w:sz w:val="24"/>
                <w:szCs w:val="24"/>
              </w:rPr>
              <w:t>2027</w:t>
            </w:r>
          </w:p>
        </w:tc>
        <w:tc>
          <w:tcPr>
            <w:tcW w:w="1245" w:type="dxa"/>
          </w:tcPr>
          <w:p w14:paraId="0C963E96">
            <w:pPr>
              <w:jc w:val="center"/>
              <w:rPr>
                <w:color w:val="auto"/>
                <w:sz w:val="24"/>
                <w:szCs w:val="24"/>
              </w:rPr>
            </w:pPr>
            <w:r>
              <w:rPr>
                <w:color w:val="auto"/>
                <w:sz w:val="24"/>
                <w:szCs w:val="24"/>
              </w:rPr>
              <w:t>Tiêu chí  2</w:t>
            </w:r>
          </w:p>
        </w:tc>
        <w:tc>
          <w:tcPr>
            <w:tcW w:w="1308" w:type="dxa"/>
          </w:tcPr>
          <w:p w14:paraId="2B00EFCF">
            <w:pPr>
              <w:jc w:val="center"/>
              <w:rPr>
                <w:color w:val="auto"/>
                <w:sz w:val="24"/>
                <w:szCs w:val="24"/>
              </w:rPr>
            </w:pPr>
          </w:p>
        </w:tc>
        <w:tc>
          <w:tcPr>
            <w:tcW w:w="2410" w:type="dxa"/>
          </w:tcPr>
          <w:p w14:paraId="198D4844">
            <w:pPr>
              <w:ind w:firstLine="284"/>
              <w:jc w:val="both"/>
              <w:rPr>
                <w:color w:val="auto"/>
                <w:sz w:val="24"/>
                <w:szCs w:val="24"/>
              </w:rPr>
            </w:pPr>
            <w:r>
              <w:rPr>
                <w:color w:val="auto"/>
                <w:sz w:val="24"/>
                <w:szCs w:val="24"/>
              </w:rPr>
              <w:t>- Nhất trí.</w:t>
            </w:r>
          </w:p>
          <w:p w14:paraId="15221527">
            <w:pPr>
              <w:ind w:firstLine="284"/>
              <w:jc w:val="both"/>
              <w:rPr>
                <w:color w:val="auto"/>
                <w:sz w:val="24"/>
                <w:szCs w:val="24"/>
              </w:rPr>
            </w:pPr>
            <w:r>
              <w:rPr>
                <w:color w:val="auto"/>
                <w:sz w:val="24"/>
                <w:szCs w:val="24"/>
              </w:rPr>
              <w:t>- Đề nghị chỉnh lý tên văn bản làm căn cứ rà soát đầy đủ.</w:t>
            </w:r>
          </w:p>
          <w:p w14:paraId="5F6E8817">
            <w:pPr>
              <w:ind w:firstLine="284"/>
              <w:jc w:val="both"/>
              <w:rPr>
                <w:color w:val="auto"/>
                <w:sz w:val="24"/>
                <w:szCs w:val="24"/>
              </w:rPr>
            </w:pPr>
          </w:p>
        </w:tc>
      </w:tr>
      <w:tr w14:paraId="2900F7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117" w:hRule="atLeast"/>
          <w:jc w:val="center"/>
        </w:trPr>
        <w:tc>
          <w:tcPr>
            <w:tcW w:w="704" w:type="dxa"/>
          </w:tcPr>
          <w:p w14:paraId="2780E175">
            <w:pPr>
              <w:numPr>
                <w:ilvl w:val="0"/>
                <w:numId w:val="1"/>
              </w:numPr>
              <w:tabs>
                <w:tab w:val="left" w:pos="425"/>
              </w:tabs>
              <w:ind w:left="501" w:leftChars="0" w:firstLineChars="0"/>
              <w:jc w:val="center"/>
              <w:rPr>
                <w:color w:val="auto"/>
                <w:sz w:val="24"/>
                <w:szCs w:val="24"/>
              </w:rPr>
            </w:pPr>
          </w:p>
        </w:tc>
        <w:tc>
          <w:tcPr>
            <w:tcW w:w="1843" w:type="dxa"/>
            <w:vAlign w:val="top"/>
          </w:tcPr>
          <w:p w14:paraId="1789575E">
            <w:pPr>
              <w:pStyle w:val="15"/>
              <w:keepNext w:val="0"/>
              <w:keepLines w:val="0"/>
              <w:widowControl/>
              <w:suppressLineNumbers w:val="0"/>
              <w:bidi w:val="0"/>
              <w:spacing w:before="120" w:beforeAutospacing="0" w:after="0" w:afterAutospacing="0" w:line="15" w:lineRule="atLeast"/>
              <w:jc w:val="both"/>
              <w:rPr>
                <w:color w:val="auto"/>
                <w:sz w:val="24"/>
                <w:szCs w:val="24"/>
              </w:rPr>
            </w:pPr>
            <w:r>
              <w:rPr>
                <w:rFonts w:hint="default" w:ascii="Times New Roman" w:hAnsi="Times New Roman" w:cs="Times New Roman"/>
                <w:i w:val="0"/>
                <w:iCs w:val="0"/>
                <w:color w:val="auto"/>
                <w:sz w:val="24"/>
                <w:szCs w:val="24"/>
                <w:u w:val="none"/>
                <w:vertAlign w:val="baseline"/>
              </w:rPr>
              <w:t>Thông tư 25/2025/TT-BKHCN Quy định chi tiết thi hành một số điều của Luật Thi đua, khen thưởng và Nghị định số 152/2025/NĐ-CP ngày 14</w:t>
            </w:r>
            <w:r>
              <w:rPr>
                <w:rFonts w:hint="default" w:cs="Times New Roman"/>
                <w:i w:val="0"/>
                <w:iCs w:val="0"/>
                <w:color w:val="auto"/>
                <w:sz w:val="24"/>
                <w:szCs w:val="24"/>
                <w:u w:val="none"/>
                <w:vertAlign w:val="baseline"/>
                <w:lang w:val="en-US"/>
              </w:rPr>
              <w:t>/</w:t>
            </w:r>
            <w:r>
              <w:rPr>
                <w:rFonts w:hint="default" w:ascii="Times New Roman" w:hAnsi="Times New Roman" w:cs="Times New Roman"/>
                <w:i w:val="0"/>
                <w:iCs w:val="0"/>
                <w:color w:val="auto"/>
                <w:sz w:val="24"/>
                <w:szCs w:val="24"/>
                <w:u w:val="none"/>
                <w:vertAlign w:val="baseline"/>
              </w:rPr>
              <w:t>6</w:t>
            </w:r>
            <w:r>
              <w:rPr>
                <w:rFonts w:hint="default" w:cs="Times New Roman"/>
                <w:i w:val="0"/>
                <w:iCs w:val="0"/>
                <w:color w:val="auto"/>
                <w:sz w:val="24"/>
                <w:szCs w:val="24"/>
                <w:u w:val="none"/>
                <w:vertAlign w:val="baseline"/>
                <w:lang w:val="en-US"/>
              </w:rPr>
              <w:t>/</w:t>
            </w:r>
            <w:r>
              <w:rPr>
                <w:rFonts w:hint="default" w:ascii="Times New Roman" w:hAnsi="Times New Roman" w:cs="Times New Roman"/>
                <w:i w:val="0"/>
                <w:iCs w:val="0"/>
                <w:color w:val="auto"/>
                <w:sz w:val="24"/>
                <w:szCs w:val="24"/>
                <w:u w:val="none"/>
                <w:vertAlign w:val="baseline"/>
              </w:rPr>
              <w:t>2025 của Chính phủ đối với ngành Khoa học và Công nghệ.</w:t>
            </w:r>
          </w:p>
        </w:tc>
        <w:tc>
          <w:tcPr>
            <w:tcW w:w="1417" w:type="dxa"/>
            <w:vAlign w:val="top"/>
          </w:tcPr>
          <w:p w14:paraId="20E699FD">
            <w:pPr>
              <w:pStyle w:val="15"/>
              <w:keepNext w:val="0"/>
              <w:keepLines w:val="0"/>
              <w:widowControl/>
              <w:suppressLineNumbers w:val="0"/>
              <w:bidi w:val="0"/>
              <w:spacing w:before="120" w:beforeAutospacing="0" w:after="0" w:afterAutospacing="0" w:line="15" w:lineRule="atLeast"/>
              <w:jc w:val="both"/>
              <w:rPr>
                <w:color w:val="auto"/>
                <w:sz w:val="24"/>
                <w:szCs w:val="24"/>
              </w:rPr>
            </w:pPr>
            <w:r>
              <w:rPr>
                <w:rFonts w:hint="default" w:ascii="Times New Roman" w:hAnsi="Times New Roman" w:cs="Times New Roman"/>
                <w:i w:val="0"/>
                <w:iCs w:val="0"/>
                <w:color w:val="auto"/>
                <w:sz w:val="24"/>
                <w:szCs w:val="24"/>
                <w:u w:val="none"/>
                <w:vertAlign w:val="baseline"/>
              </w:rPr>
              <w:t>Luật Thi đua, khen thưởng số 06/2022/QH15 được sửa đổi, bổ sung bởi Luật số 06/2026/QH16</w:t>
            </w:r>
          </w:p>
        </w:tc>
        <w:tc>
          <w:tcPr>
            <w:tcW w:w="4051" w:type="dxa"/>
            <w:vAlign w:val="top"/>
          </w:tcPr>
          <w:p w14:paraId="0ECDFD11">
            <w:pPr>
              <w:pStyle w:val="15"/>
              <w:keepNext w:val="0"/>
              <w:keepLines w:val="0"/>
              <w:widowControl/>
              <w:suppressLineNumbers w:val="0"/>
              <w:bidi w:val="0"/>
              <w:spacing w:before="0" w:beforeAutospacing="0" w:after="0" w:afterAutospacing="0" w:line="15" w:lineRule="atLeast"/>
              <w:jc w:val="both"/>
              <w:rPr>
                <w:color w:val="auto"/>
                <w:sz w:val="24"/>
                <w:szCs w:val="24"/>
              </w:rPr>
            </w:pPr>
            <w:r>
              <w:rPr>
                <w:rFonts w:hint="default" w:ascii="Times New Roman" w:hAnsi="Times New Roman" w:cs="Times New Roman"/>
                <w:i w:val="0"/>
                <w:iCs w:val="0"/>
                <w:color w:val="auto"/>
                <w:sz w:val="24"/>
                <w:szCs w:val="24"/>
                <w:u w:val="none"/>
                <w:vertAlign w:val="baseline"/>
              </w:rPr>
              <w:t>Việc ban hành Thông tư thay thế là yêu cầu cấp thiết nhằm bảo đảm các quy định của Luật số 06/2026/QH16 được triển khai đồng bộ, thống nhất và có hiệu lực thi hành ngay từ ngày 01/10/2026; đồng thời cụ thể hóa chủ trương đẩy mạnh phân cấp, phân quyền trong công tác thi đua, khen thưởng; tăng tính chủ động cho các cơ quan, đơn vị thuộc Bộ; bảo đảm phù hợp với mô hình tổ chức bộ máy sau sắp xếp và chính quyền địa phương hai cấp.</w:t>
            </w:r>
          </w:p>
        </w:tc>
        <w:tc>
          <w:tcPr>
            <w:tcW w:w="1394" w:type="dxa"/>
            <w:vAlign w:val="top"/>
          </w:tcPr>
          <w:p w14:paraId="68FA249D">
            <w:pPr>
              <w:pStyle w:val="15"/>
              <w:keepNext w:val="0"/>
              <w:keepLines w:val="0"/>
              <w:widowControl/>
              <w:suppressLineNumbers w:val="0"/>
              <w:bidi w:val="0"/>
              <w:spacing w:before="0" w:beforeAutospacing="0" w:after="0" w:afterAutospacing="0" w:line="15" w:lineRule="atLeast"/>
              <w:jc w:val="both"/>
              <w:rPr>
                <w:color w:val="auto"/>
                <w:sz w:val="24"/>
                <w:szCs w:val="24"/>
              </w:rPr>
            </w:pPr>
            <w:r>
              <w:rPr>
                <w:rFonts w:hint="default" w:ascii="Times New Roman" w:hAnsi="Times New Roman" w:cs="Times New Roman"/>
                <w:i w:val="0"/>
                <w:iCs w:val="0"/>
                <w:color w:val="auto"/>
                <w:sz w:val="24"/>
                <w:szCs w:val="24"/>
                <w:u w:val="none"/>
                <w:vertAlign w:val="baseline"/>
              </w:rPr>
              <w:t>Thay thế</w:t>
            </w:r>
          </w:p>
        </w:tc>
        <w:tc>
          <w:tcPr>
            <w:tcW w:w="1275" w:type="dxa"/>
            <w:vAlign w:val="top"/>
          </w:tcPr>
          <w:p w14:paraId="0FEC4EB1">
            <w:pPr>
              <w:pStyle w:val="15"/>
              <w:keepNext w:val="0"/>
              <w:keepLines w:val="0"/>
              <w:widowControl/>
              <w:suppressLineNumbers w:val="0"/>
              <w:bidi w:val="0"/>
              <w:spacing w:before="0" w:beforeAutospacing="0" w:after="0" w:afterAutospacing="0" w:line="15" w:lineRule="atLeast"/>
              <w:jc w:val="center"/>
              <w:rPr>
                <w:color w:val="auto"/>
                <w:sz w:val="24"/>
                <w:szCs w:val="24"/>
              </w:rPr>
            </w:pPr>
            <w:r>
              <w:rPr>
                <w:rFonts w:hint="default" w:ascii="Times New Roman" w:hAnsi="Times New Roman" w:cs="Times New Roman"/>
                <w:i w:val="0"/>
                <w:iCs w:val="0"/>
                <w:color w:val="auto"/>
                <w:sz w:val="24"/>
                <w:szCs w:val="24"/>
                <w:u w:val="none"/>
                <w:vertAlign w:val="baseline"/>
              </w:rPr>
              <w:t>Dự kiến trình ban hành tháng 9/2026, đảm bảo có hiệu lực đồng thời với Luật TĐKT, Nghị định hướng dẫn Luật TĐKT</w:t>
            </w:r>
          </w:p>
        </w:tc>
        <w:tc>
          <w:tcPr>
            <w:tcW w:w="1245" w:type="dxa"/>
            <w:vAlign w:val="top"/>
          </w:tcPr>
          <w:p w14:paraId="029F1FC5">
            <w:pPr>
              <w:pStyle w:val="15"/>
              <w:keepNext w:val="0"/>
              <w:keepLines w:val="0"/>
              <w:widowControl/>
              <w:suppressLineNumbers w:val="0"/>
              <w:bidi w:val="0"/>
              <w:spacing w:before="0" w:beforeAutospacing="0" w:after="0" w:afterAutospacing="0" w:line="15" w:lineRule="atLeast"/>
              <w:jc w:val="both"/>
              <w:rPr>
                <w:color w:val="auto"/>
                <w:sz w:val="24"/>
                <w:szCs w:val="24"/>
              </w:rPr>
            </w:pPr>
            <w:r>
              <w:rPr>
                <w:rFonts w:hint="default" w:ascii="Times New Roman" w:hAnsi="Times New Roman" w:cs="Times New Roman"/>
                <w:i w:val="0"/>
                <w:iCs w:val="0"/>
                <w:color w:val="auto"/>
                <w:sz w:val="24"/>
                <w:szCs w:val="24"/>
                <w:u w:val="none"/>
                <w:vertAlign w:val="baseline"/>
              </w:rPr>
              <w:t>Tiêu chí 2</w:t>
            </w:r>
          </w:p>
        </w:tc>
        <w:tc>
          <w:tcPr>
            <w:tcW w:w="1308" w:type="dxa"/>
          </w:tcPr>
          <w:p w14:paraId="428F69F9">
            <w:pPr>
              <w:jc w:val="center"/>
              <w:rPr>
                <w:rFonts w:hint="default"/>
                <w:color w:val="auto"/>
                <w:sz w:val="24"/>
                <w:szCs w:val="24"/>
                <w:lang w:val="en-US"/>
              </w:rPr>
            </w:pPr>
            <w:r>
              <w:rPr>
                <w:rFonts w:hint="default"/>
                <w:color w:val="auto"/>
                <w:sz w:val="24"/>
                <w:szCs w:val="24"/>
                <w:lang w:val="en-US"/>
              </w:rPr>
              <w:t>Đề xuất bổ sung mới</w:t>
            </w:r>
          </w:p>
        </w:tc>
        <w:tc>
          <w:tcPr>
            <w:tcW w:w="2410" w:type="dxa"/>
          </w:tcPr>
          <w:p w14:paraId="1A4AF782">
            <w:pPr>
              <w:ind w:firstLine="284"/>
              <w:jc w:val="both"/>
              <w:rPr>
                <w:color w:val="auto"/>
                <w:sz w:val="24"/>
                <w:szCs w:val="24"/>
              </w:rPr>
            </w:pPr>
          </w:p>
        </w:tc>
      </w:tr>
      <w:tr w14:paraId="3F9B88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82" w:hRule="atLeast"/>
          <w:jc w:val="center"/>
        </w:trPr>
        <w:tc>
          <w:tcPr>
            <w:tcW w:w="704" w:type="dxa"/>
          </w:tcPr>
          <w:p w14:paraId="2F0676F3">
            <w:pPr>
              <w:numPr>
                <w:ilvl w:val="0"/>
                <w:numId w:val="1"/>
              </w:numPr>
              <w:tabs>
                <w:tab w:val="left" w:pos="425"/>
              </w:tabs>
              <w:ind w:left="501" w:leftChars="0" w:firstLineChars="0"/>
              <w:rPr>
                <w:color w:val="auto"/>
                <w:sz w:val="24"/>
                <w:szCs w:val="24"/>
              </w:rPr>
            </w:pPr>
          </w:p>
        </w:tc>
        <w:tc>
          <w:tcPr>
            <w:tcW w:w="1843" w:type="dxa"/>
          </w:tcPr>
          <w:p w14:paraId="794BA311">
            <w:pPr>
              <w:jc w:val="both"/>
              <w:rPr>
                <w:color w:val="auto"/>
                <w:sz w:val="24"/>
                <w:szCs w:val="24"/>
              </w:rPr>
            </w:pPr>
            <w:r>
              <w:rPr>
                <w:color w:val="auto"/>
                <w:sz w:val="24"/>
                <w:szCs w:val="24"/>
              </w:rPr>
              <w:t>Thông tư số 47/2025/TT-BKHCN ngày 24/12/2025 Quy định chế độ báo cáo định kỳ thuộc phạm vi quản lý nhà nước của Bộ Khoa học và Công nghệ.</w:t>
            </w:r>
          </w:p>
          <w:p w14:paraId="37DC694F">
            <w:pPr>
              <w:jc w:val="both"/>
              <w:rPr>
                <w:color w:val="auto"/>
                <w:sz w:val="24"/>
                <w:szCs w:val="24"/>
              </w:rPr>
            </w:pPr>
          </w:p>
        </w:tc>
        <w:tc>
          <w:tcPr>
            <w:tcW w:w="1417" w:type="dxa"/>
          </w:tcPr>
          <w:p w14:paraId="1B7F818A">
            <w:pPr>
              <w:jc w:val="both"/>
              <w:rPr>
                <w:color w:val="auto"/>
                <w:sz w:val="24"/>
                <w:szCs w:val="24"/>
              </w:rPr>
            </w:pPr>
            <w:r>
              <w:rPr>
                <w:color w:val="auto"/>
                <w:sz w:val="24"/>
                <w:szCs w:val="24"/>
              </w:rPr>
              <w:t>Tình hình thực tiễn</w:t>
            </w:r>
          </w:p>
        </w:tc>
        <w:tc>
          <w:tcPr>
            <w:tcW w:w="4051" w:type="dxa"/>
          </w:tcPr>
          <w:p w14:paraId="4B5E804B">
            <w:pPr>
              <w:jc w:val="both"/>
              <w:rPr>
                <w:color w:val="auto"/>
                <w:sz w:val="24"/>
                <w:szCs w:val="24"/>
              </w:rPr>
            </w:pPr>
            <w:r>
              <w:rPr>
                <w:color w:val="auto"/>
                <w:sz w:val="24"/>
                <w:szCs w:val="24"/>
              </w:rPr>
              <w:t>Thông tư số 47/2025/TT-BKHCN ngày 24/12/2025 Quy định chế độ báo cáo định kỳ thuộc phạm vi quản lý nhà nước của Bộ Khoa học và Công nghệ.</w:t>
            </w:r>
          </w:p>
          <w:p w14:paraId="31C4E49C">
            <w:pPr>
              <w:jc w:val="both"/>
              <w:rPr>
                <w:color w:val="auto"/>
                <w:sz w:val="24"/>
                <w:szCs w:val="24"/>
              </w:rPr>
            </w:pPr>
            <w:r>
              <w:rPr>
                <w:color w:val="auto"/>
                <w:sz w:val="24"/>
                <w:szCs w:val="24"/>
              </w:rPr>
              <w:t xml:space="preserve"> “Phụ lục I ban hành kèm theo Thông tư số 47/2025/TT-BKHCN: chưa có hoặc chưa đầy đủ một số chế độ báo cáo, biểu mẫu báo cáo phục vụ theo dõi hoạt động đổi mới sáng tạo, ứng dụng công nghệ, chuyển giao công nghệ, đổi mới công nghệ và phát triển thị trường khoa học và công nghệ.”"</w:t>
            </w:r>
            <w:r>
              <w:rPr>
                <w:color w:val="auto"/>
                <w:sz w:val="24"/>
                <w:szCs w:val="24"/>
              </w:rPr>
              <w:tab/>
            </w:r>
            <w:r>
              <w:rPr>
                <w:color w:val="auto"/>
                <w:sz w:val="24"/>
                <w:szCs w:val="24"/>
              </w:rPr>
              <w:t>"Thông tư số 47/2025/TT-BKHCN đã quy định chế độ báo cáo định kỳ thuộc phạm vi quản lý nhà nước của Bộ Khoa học và Công nghệ; trong Phụ lục I đã có một số biểu mẫu liên quan đến đánh giá trình độ, năng lực công nghệ và lộ trình đổi mới công nghệ.</w:t>
            </w:r>
          </w:p>
          <w:p w14:paraId="37B43385">
            <w:pPr>
              <w:jc w:val="both"/>
              <w:rPr>
                <w:color w:val="auto"/>
                <w:sz w:val="24"/>
                <w:szCs w:val="24"/>
              </w:rPr>
            </w:pPr>
            <w:r>
              <w:rPr>
                <w:color w:val="auto"/>
                <w:sz w:val="24"/>
                <w:szCs w:val="24"/>
              </w:rPr>
              <w:t xml:space="preserve"> Tuy nhiên, hệ thống biểu mẫu hiện hành chưa bao quát đầy đủ các nội dung quản lý mới phát sinh trong lĩnh vực đổi mới sáng tạo, ứng dụng công nghệ, chuyển giao công nghệ, đổi mới công nghệ và phát triển thị trường khoa học và công nghệ, như: hỗ trợ phát triển hệ thống đổi mới sáng tạo; thẩm định công nghệ trong trường hợp đặc thù; cung cấp thông tin về hoạt động chuyển giao công nghệ; phát triển tổ chức trung gian và sàn giao dịch khoa học và công nghệ.</w:t>
            </w:r>
          </w:p>
          <w:p w14:paraId="06B497C2">
            <w:pPr>
              <w:jc w:val="both"/>
              <w:rPr>
                <w:color w:val="auto"/>
                <w:sz w:val="24"/>
                <w:szCs w:val="24"/>
              </w:rPr>
            </w:pPr>
            <w:r>
              <w:rPr>
                <w:color w:val="auto"/>
                <w:sz w:val="24"/>
                <w:szCs w:val="24"/>
              </w:rPr>
              <w:t>Bên cạnh đó, Biểu số 05.12/ĐGTĐCN và Biểu số 05.13/LTĐMCN chưa đủ chi tiết để thu thập, tổng hợp dữ liệu phục vụ đánh giá trình độ, năng lực công nghệ của doanh nghiệp, ngành, lĩnh vực sản xuất; xây dựng, triển khai lộ trình công nghệ, lộ trình đổi mới công nghệ của bộ, ngành, địa phương. Việc thiếu biểu mẫu và chỉ tiêu báo cáo làm hạn chế khả năng chuẩn hóa dữ liệu, so sánh giữa các bộ, ngành, địa phương; khó tổng hợp, phân tích, đánh giá kết quả và hiệu quả quản lý nhà nước trong các lĩnh vực nêu trên."</w:t>
            </w:r>
          </w:p>
        </w:tc>
        <w:tc>
          <w:tcPr>
            <w:tcW w:w="1394" w:type="dxa"/>
          </w:tcPr>
          <w:p w14:paraId="129ED99B">
            <w:pPr>
              <w:jc w:val="both"/>
              <w:rPr>
                <w:rFonts w:hint="default"/>
                <w:color w:val="auto"/>
                <w:sz w:val="24"/>
                <w:szCs w:val="24"/>
                <w:lang w:val="en-US"/>
              </w:rPr>
            </w:pPr>
            <w:r>
              <w:rPr>
                <w:rFonts w:hint="default"/>
                <w:color w:val="auto"/>
                <w:sz w:val="24"/>
                <w:szCs w:val="24"/>
                <w:lang w:val="en-US"/>
              </w:rPr>
              <w:t>Sửa đổi, bổ sung</w:t>
            </w:r>
          </w:p>
        </w:tc>
        <w:tc>
          <w:tcPr>
            <w:tcW w:w="1275" w:type="dxa"/>
          </w:tcPr>
          <w:p w14:paraId="32442791">
            <w:pPr>
              <w:jc w:val="both"/>
              <w:rPr>
                <w:color w:val="auto"/>
                <w:sz w:val="24"/>
                <w:szCs w:val="24"/>
              </w:rPr>
            </w:pPr>
            <w:r>
              <w:rPr>
                <w:rFonts w:hint="default"/>
                <w:color w:val="auto"/>
                <w:sz w:val="24"/>
                <w:szCs w:val="24"/>
                <w:lang w:val="en-US"/>
              </w:rPr>
              <w:t>Tháng 12/</w:t>
            </w:r>
            <w:r>
              <w:rPr>
                <w:color w:val="auto"/>
                <w:sz w:val="24"/>
                <w:szCs w:val="24"/>
              </w:rPr>
              <w:t>2026</w:t>
            </w:r>
          </w:p>
        </w:tc>
        <w:tc>
          <w:tcPr>
            <w:tcW w:w="1245" w:type="dxa"/>
          </w:tcPr>
          <w:p w14:paraId="7FD1EE6A">
            <w:pPr>
              <w:jc w:val="both"/>
              <w:rPr>
                <w:color w:val="auto"/>
                <w:sz w:val="24"/>
                <w:szCs w:val="24"/>
              </w:rPr>
            </w:pPr>
            <w:r>
              <w:rPr>
                <w:color w:val="auto"/>
                <w:sz w:val="24"/>
                <w:szCs w:val="24"/>
              </w:rPr>
              <w:t>Tiêu chí 6</w:t>
            </w:r>
          </w:p>
        </w:tc>
        <w:tc>
          <w:tcPr>
            <w:tcW w:w="1308" w:type="dxa"/>
          </w:tcPr>
          <w:p w14:paraId="707C0285">
            <w:pPr>
              <w:jc w:val="center"/>
              <w:rPr>
                <w:color w:val="auto"/>
                <w:sz w:val="24"/>
                <w:szCs w:val="24"/>
              </w:rPr>
            </w:pPr>
          </w:p>
        </w:tc>
        <w:tc>
          <w:tcPr>
            <w:tcW w:w="2410" w:type="dxa"/>
          </w:tcPr>
          <w:p w14:paraId="623084D8">
            <w:pPr>
              <w:ind w:firstLine="284"/>
              <w:jc w:val="both"/>
              <w:rPr>
                <w:color w:val="auto"/>
                <w:sz w:val="24"/>
                <w:szCs w:val="24"/>
              </w:rPr>
            </w:pPr>
            <w:r>
              <w:rPr>
                <w:color w:val="auto"/>
                <w:sz w:val="24"/>
                <w:szCs w:val="24"/>
              </w:rPr>
              <w:t>Nhất trí</w:t>
            </w:r>
          </w:p>
        </w:tc>
      </w:tr>
      <w:tr w14:paraId="7417EE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89" w:hRule="atLeast"/>
          <w:jc w:val="center"/>
        </w:trPr>
        <w:tc>
          <w:tcPr>
            <w:tcW w:w="704" w:type="dxa"/>
          </w:tcPr>
          <w:p w14:paraId="1F94A89D">
            <w:pPr>
              <w:numPr>
                <w:ilvl w:val="0"/>
                <w:numId w:val="1"/>
              </w:numPr>
              <w:tabs>
                <w:tab w:val="left" w:pos="425"/>
              </w:tabs>
              <w:ind w:left="501" w:leftChars="0" w:firstLineChars="0"/>
              <w:rPr>
                <w:color w:val="auto"/>
                <w:sz w:val="24"/>
                <w:szCs w:val="24"/>
              </w:rPr>
            </w:pPr>
          </w:p>
        </w:tc>
        <w:tc>
          <w:tcPr>
            <w:tcW w:w="1843" w:type="dxa"/>
          </w:tcPr>
          <w:p w14:paraId="182EA14C">
            <w:pPr>
              <w:tabs>
                <w:tab w:val="right" w:pos="8640"/>
              </w:tabs>
              <w:jc w:val="both"/>
              <w:rPr>
                <w:color w:val="auto"/>
                <w:sz w:val="24"/>
                <w:szCs w:val="24"/>
              </w:rPr>
            </w:pPr>
            <w:r>
              <w:rPr>
                <w:color w:val="auto"/>
                <w:sz w:val="24"/>
                <w:szCs w:val="24"/>
              </w:rPr>
              <w:t>Thông tư số 24/2021/TT-BTTTT ngày 27/12/2021 của Bộ trưởng Bộ TTTT quy định tiêu chí phân loại, điều kiện thành lập, sáp nhập, hợp nhất, giải thể các đơn vị sự nghiệp công lập thuộc lĩnh vực Thông tin và Truyền thông</w:t>
            </w:r>
          </w:p>
        </w:tc>
        <w:tc>
          <w:tcPr>
            <w:tcW w:w="1417" w:type="dxa"/>
          </w:tcPr>
          <w:p w14:paraId="0DF38D15">
            <w:pPr>
              <w:tabs>
                <w:tab w:val="right" w:pos="8640"/>
              </w:tabs>
              <w:jc w:val="both"/>
              <w:rPr>
                <w:color w:val="auto"/>
                <w:sz w:val="24"/>
                <w:szCs w:val="24"/>
              </w:rPr>
            </w:pPr>
            <w:r>
              <w:rPr>
                <w:rFonts w:hint="default" w:ascii="Times New Roman" w:hAnsi="Times New Roman" w:eastAsia="SimSun" w:cs="Times New Roman"/>
                <w:i w:val="0"/>
                <w:iCs w:val="0"/>
                <w:color w:val="auto"/>
                <w:sz w:val="24"/>
                <w:szCs w:val="24"/>
                <w:u w:val="none"/>
                <w:vertAlign w:val="baseline"/>
              </w:rPr>
              <w:t>Nghị định số 225/2026/NĐ-CP ngày 24/6/2026 của Chính phủ quy định chức năng, nhiệm vụ, quyền hạn và cơ cấu tổ chức của Bộ Khoa học và Công nghệ</w:t>
            </w:r>
          </w:p>
        </w:tc>
        <w:tc>
          <w:tcPr>
            <w:tcW w:w="4051" w:type="dxa"/>
          </w:tcPr>
          <w:p w14:paraId="5E423E2B">
            <w:pPr>
              <w:jc w:val="both"/>
              <w:rPr>
                <w:color w:val="auto"/>
                <w:sz w:val="24"/>
                <w:szCs w:val="24"/>
              </w:rPr>
            </w:pPr>
            <w:r>
              <w:rPr>
                <w:color w:val="auto"/>
                <w:sz w:val="24"/>
                <w:szCs w:val="24"/>
              </w:rPr>
              <w:t>Bổ sung các đơn vị sự nghiệp công lập trong lĩnh vực khoa học và công nghệ: tần số vô tuyến điện, bưu chính, viễn thông, công nghệ thông tin.</w:t>
            </w:r>
            <w:r>
              <w:rPr>
                <w:b/>
                <w:bCs/>
                <w:i/>
                <w:iCs/>
                <w:color w:val="auto"/>
                <w:sz w:val="24"/>
                <w:szCs w:val="24"/>
              </w:rPr>
              <w:t xml:space="preserve"> </w:t>
            </w:r>
          </w:p>
        </w:tc>
        <w:tc>
          <w:tcPr>
            <w:tcW w:w="1394" w:type="dxa"/>
          </w:tcPr>
          <w:p w14:paraId="02040A52">
            <w:pPr>
              <w:spacing w:before="60"/>
              <w:jc w:val="both"/>
              <w:rPr>
                <w:color w:val="auto"/>
                <w:sz w:val="24"/>
                <w:szCs w:val="24"/>
              </w:rPr>
            </w:pPr>
            <w:r>
              <w:rPr>
                <w:rFonts w:hint="default"/>
                <w:color w:val="auto"/>
                <w:sz w:val="24"/>
                <w:szCs w:val="24"/>
                <w:lang w:val="en-US"/>
              </w:rPr>
              <w:t>T</w:t>
            </w:r>
            <w:r>
              <w:rPr>
                <w:color w:val="auto"/>
                <w:sz w:val="24"/>
                <w:szCs w:val="24"/>
              </w:rPr>
              <w:t xml:space="preserve">hay thế  </w:t>
            </w:r>
          </w:p>
          <w:p w14:paraId="5349CE9B">
            <w:pPr>
              <w:tabs>
                <w:tab w:val="right" w:pos="8640"/>
              </w:tabs>
              <w:ind w:right="52"/>
              <w:jc w:val="both"/>
              <w:rPr>
                <w:color w:val="auto"/>
                <w:sz w:val="24"/>
                <w:szCs w:val="24"/>
              </w:rPr>
            </w:pPr>
          </w:p>
        </w:tc>
        <w:tc>
          <w:tcPr>
            <w:tcW w:w="1275" w:type="dxa"/>
          </w:tcPr>
          <w:p w14:paraId="44F43C04">
            <w:pPr>
              <w:jc w:val="center"/>
              <w:rPr>
                <w:color w:val="auto"/>
                <w:sz w:val="24"/>
                <w:szCs w:val="24"/>
              </w:rPr>
            </w:pPr>
            <w:r>
              <w:rPr>
                <w:rFonts w:hint="default"/>
                <w:color w:val="auto"/>
                <w:sz w:val="24"/>
                <w:szCs w:val="24"/>
                <w:lang w:val="en-US"/>
              </w:rPr>
              <w:t>Tháng 12/</w:t>
            </w:r>
            <w:r>
              <w:rPr>
                <w:color w:val="auto"/>
                <w:sz w:val="24"/>
                <w:szCs w:val="24"/>
              </w:rPr>
              <w:t>2026</w:t>
            </w:r>
          </w:p>
        </w:tc>
        <w:tc>
          <w:tcPr>
            <w:tcW w:w="1245" w:type="dxa"/>
          </w:tcPr>
          <w:p w14:paraId="7C68099D">
            <w:pPr>
              <w:jc w:val="center"/>
              <w:rPr>
                <w:color w:val="auto"/>
                <w:sz w:val="24"/>
                <w:szCs w:val="24"/>
              </w:rPr>
            </w:pPr>
            <w:r>
              <w:rPr>
                <w:color w:val="auto"/>
                <w:sz w:val="24"/>
                <w:szCs w:val="24"/>
              </w:rPr>
              <w:t>Tiêu chí  2</w:t>
            </w:r>
          </w:p>
        </w:tc>
        <w:tc>
          <w:tcPr>
            <w:tcW w:w="1308" w:type="dxa"/>
          </w:tcPr>
          <w:p w14:paraId="6514684D">
            <w:pPr>
              <w:jc w:val="center"/>
              <w:rPr>
                <w:color w:val="auto"/>
                <w:sz w:val="24"/>
                <w:szCs w:val="24"/>
              </w:rPr>
            </w:pPr>
          </w:p>
        </w:tc>
        <w:tc>
          <w:tcPr>
            <w:tcW w:w="2410" w:type="dxa"/>
            <w:vMerge w:val="restart"/>
          </w:tcPr>
          <w:p w14:paraId="128682B6">
            <w:pPr>
              <w:ind w:firstLine="284"/>
              <w:jc w:val="both"/>
              <w:rPr>
                <w:color w:val="auto"/>
                <w:sz w:val="24"/>
                <w:szCs w:val="24"/>
              </w:rPr>
            </w:pPr>
            <w:r>
              <w:rPr>
                <w:color w:val="auto"/>
                <w:sz w:val="24"/>
                <w:szCs w:val="24"/>
              </w:rPr>
              <w:t xml:space="preserve">Tại thời điểm hiện nay, căn cứ rà soát là Nghị định số 55/2025/NĐ-CP ngày 02/3/2025 của Chính phủ quy định chức năng, nhiệm vụ, quyền hạn và cơ cấu tổ chức của Bộ Khoa học và Công nghệ </w:t>
            </w:r>
            <w:r>
              <w:rPr>
                <w:b/>
                <w:bCs/>
                <w:i/>
                <w:iCs/>
                <w:color w:val="auto"/>
                <w:sz w:val="24"/>
                <w:szCs w:val="24"/>
              </w:rPr>
              <w:t>đã hết hiệu lực</w:t>
            </w:r>
            <w:r>
              <w:rPr>
                <w:color w:val="auto"/>
                <w:sz w:val="24"/>
                <w:szCs w:val="24"/>
              </w:rPr>
              <w:t>, được thay thế bởi Nghị định số 225/2026/NĐ-CP ngày 24/6/2026 của Chính phủ quy định chức năng, nhiệm vụ, quyền hạn và cơ cấu tổ chức của Bộ Khoa học và Công nghệ. Đề nghị Bộ KHCN rà soát 02 Thông tư này với Nghị định số 225/2026/NĐ-CP để xác định các nội dung, quy định, hình thức xử lý đối với 02 Thông tư.</w:t>
            </w:r>
          </w:p>
        </w:tc>
      </w:tr>
      <w:tr w14:paraId="67BCC3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 w:hRule="atLeast"/>
          <w:jc w:val="center"/>
        </w:trPr>
        <w:tc>
          <w:tcPr>
            <w:tcW w:w="704" w:type="dxa"/>
          </w:tcPr>
          <w:p w14:paraId="1006E768">
            <w:pPr>
              <w:numPr>
                <w:ilvl w:val="0"/>
                <w:numId w:val="1"/>
              </w:numPr>
              <w:tabs>
                <w:tab w:val="left" w:pos="425"/>
              </w:tabs>
              <w:ind w:left="501" w:leftChars="0" w:firstLineChars="0"/>
              <w:jc w:val="center"/>
              <w:rPr>
                <w:color w:val="auto"/>
                <w:sz w:val="24"/>
                <w:szCs w:val="24"/>
              </w:rPr>
            </w:pPr>
          </w:p>
        </w:tc>
        <w:tc>
          <w:tcPr>
            <w:tcW w:w="1843" w:type="dxa"/>
          </w:tcPr>
          <w:p w14:paraId="15C4AC87">
            <w:pPr>
              <w:tabs>
                <w:tab w:val="right" w:pos="8640"/>
              </w:tabs>
              <w:jc w:val="both"/>
              <w:rPr>
                <w:color w:val="auto"/>
                <w:sz w:val="24"/>
                <w:szCs w:val="24"/>
              </w:rPr>
            </w:pPr>
            <w:r>
              <w:rPr>
                <w:color w:val="auto"/>
                <w:sz w:val="24"/>
                <w:szCs w:val="24"/>
              </w:rPr>
              <w:t>Thông tư số 26/2021/TT-BTTTT ngày 31/12/2021 của Bộ trưởng Bộ TTTT hướng dẫn chức năng, nhiệm vụ, quyền hạn, cơ cấu tổ chức, quy chế hoạt động của Hội đồng quản lý và tiêu chuẩn, điều kiện bổ nhiệm, miễn nhiệm các thành viên Hội đồng quản lý, Chủ tịch Hội đồng quản lý trong đơn vị sự nghiệp công lập thuộc lĩnh vực Thông tin và Truyền thông</w:t>
            </w:r>
          </w:p>
        </w:tc>
        <w:tc>
          <w:tcPr>
            <w:tcW w:w="1417" w:type="dxa"/>
          </w:tcPr>
          <w:p w14:paraId="6D3FB09C">
            <w:pPr>
              <w:tabs>
                <w:tab w:val="right" w:pos="8640"/>
              </w:tabs>
              <w:jc w:val="both"/>
              <w:rPr>
                <w:color w:val="auto"/>
                <w:sz w:val="24"/>
                <w:szCs w:val="24"/>
              </w:rPr>
            </w:pPr>
            <w:r>
              <w:rPr>
                <w:rFonts w:hint="default" w:ascii="Times New Roman" w:hAnsi="Times New Roman" w:eastAsia="SimSun" w:cs="Times New Roman"/>
                <w:i w:val="0"/>
                <w:iCs w:val="0"/>
                <w:color w:val="auto"/>
                <w:sz w:val="24"/>
                <w:szCs w:val="24"/>
                <w:u w:val="none"/>
                <w:vertAlign w:val="baseline"/>
              </w:rPr>
              <w:t>Nghị định số 225/2026/NĐ-CP ngày 24/6/2026 của Chính phủ quy định chức năng, nhiệm vụ, quyền hạn và cơ cấu tổ chức của Bộ Khoa học và Công nghệ</w:t>
            </w:r>
          </w:p>
        </w:tc>
        <w:tc>
          <w:tcPr>
            <w:tcW w:w="4051" w:type="dxa"/>
          </w:tcPr>
          <w:p w14:paraId="7F6C4EE9">
            <w:pPr>
              <w:jc w:val="both"/>
              <w:rPr>
                <w:color w:val="auto"/>
                <w:sz w:val="24"/>
                <w:szCs w:val="24"/>
              </w:rPr>
            </w:pPr>
            <w:r>
              <w:rPr>
                <w:color w:val="auto"/>
                <w:sz w:val="24"/>
                <w:szCs w:val="24"/>
              </w:rPr>
              <w:t>Bổ sung các đơn vị sự nghiệp công lập trong lĩnh vực khoa học và công nghệ: tần số vô tuyến điện, bưu chính, viễn thông, công nghệ thông tin.</w:t>
            </w:r>
          </w:p>
          <w:p w14:paraId="01AB8E4B">
            <w:pPr>
              <w:jc w:val="both"/>
              <w:rPr>
                <w:color w:val="auto"/>
                <w:sz w:val="24"/>
                <w:szCs w:val="24"/>
              </w:rPr>
            </w:pPr>
            <w:r>
              <w:rPr>
                <w:b/>
                <w:bCs/>
                <w:i/>
                <w:iCs/>
                <w:color w:val="auto"/>
                <w:sz w:val="24"/>
                <w:szCs w:val="24"/>
              </w:rPr>
              <w:t xml:space="preserve"> </w:t>
            </w:r>
          </w:p>
          <w:p w14:paraId="4D0CDA93">
            <w:pPr>
              <w:jc w:val="both"/>
              <w:rPr>
                <w:color w:val="auto"/>
                <w:sz w:val="24"/>
                <w:szCs w:val="24"/>
              </w:rPr>
            </w:pPr>
            <w:r>
              <w:rPr>
                <w:color w:val="auto"/>
                <w:sz w:val="24"/>
                <w:szCs w:val="24"/>
              </w:rPr>
              <w:tab/>
            </w:r>
          </w:p>
        </w:tc>
        <w:tc>
          <w:tcPr>
            <w:tcW w:w="1394" w:type="dxa"/>
          </w:tcPr>
          <w:p w14:paraId="55F67D32">
            <w:pPr>
              <w:spacing w:before="60"/>
              <w:jc w:val="both"/>
              <w:rPr>
                <w:color w:val="auto"/>
                <w:sz w:val="24"/>
                <w:szCs w:val="24"/>
              </w:rPr>
            </w:pPr>
            <w:r>
              <w:rPr>
                <w:rFonts w:hint="default"/>
                <w:color w:val="auto"/>
                <w:sz w:val="24"/>
                <w:szCs w:val="24"/>
                <w:lang w:val="en-US"/>
              </w:rPr>
              <w:t>T</w:t>
            </w:r>
            <w:r>
              <w:rPr>
                <w:color w:val="auto"/>
                <w:sz w:val="24"/>
                <w:szCs w:val="24"/>
              </w:rPr>
              <w:t xml:space="preserve">hay thế </w:t>
            </w:r>
          </w:p>
          <w:p w14:paraId="29D69609">
            <w:pPr>
              <w:tabs>
                <w:tab w:val="right" w:pos="8640"/>
              </w:tabs>
              <w:ind w:right="52"/>
              <w:jc w:val="both"/>
              <w:rPr>
                <w:color w:val="auto"/>
                <w:sz w:val="24"/>
                <w:szCs w:val="24"/>
              </w:rPr>
            </w:pPr>
          </w:p>
        </w:tc>
        <w:tc>
          <w:tcPr>
            <w:tcW w:w="1275" w:type="dxa"/>
          </w:tcPr>
          <w:p w14:paraId="28ADB43A">
            <w:pPr>
              <w:spacing w:before="60"/>
              <w:jc w:val="both"/>
              <w:rPr>
                <w:color w:val="auto"/>
                <w:sz w:val="24"/>
                <w:szCs w:val="24"/>
              </w:rPr>
            </w:pPr>
            <w:r>
              <w:rPr>
                <w:rFonts w:hint="default"/>
                <w:color w:val="auto"/>
                <w:sz w:val="24"/>
                <w:szCs w:val="24"/>
                <w:lang w:val="en-US"/>
              </w:rPr>
              <w:t>Tháng 12/</w:t>
            </w:r>
            <w:r>
              <w:rPr>
                <w:color w:val="auto"/>
                <w:sz w:val="24"/>
                <w:szCs w:val="24"/>
              </w:rPr>
              <w:t>2026</w:t>
            </w:r>
          </w:p>
          <w:p w14:paraId="782F8DAD">
            <w:pPr>
              <w:jc w:val="center"/>
              <w:rPr>
                <w:color w:val="auto"/>
                <w:sz w:val="24"/>
                <w:szCs w:val="24"/>
              </w:rPr>
            </w:pPr>
          </w:p>
        </w:tc>
        <w:tc>
          <w:tcPr>
            <w:tcW w:w="1245" w:type="dxa"/>
          </w:tcPr>
          <w:p w14:paraId="1C21FA15">
            <w:pPr>
              <w:jc w:val="center"/>
              <w:rPr>
                <w:color w:val="auto"/>
                <w:sz w:val="24"/>
                <w:szCs w:val="24"/>
              </w:rPr>
            </w:pPr>
            <w:r>
              <w:rPr>
                <w:color w:val="auto"/>
                <w:sz w:val="24"/>
                <w:szCs w:val="24"/>
              </w:rPr>
              <w:t>Tiêu chí  2</w:t>
            </w:r>
          </w:p>
        </w:tc>
        <w:tc>
          <w:tcPr>
            <w:tcW w:w="1308" w:type="dxa"/>
          </w:tcPr>
          <w:p w14:paraId="753B13CA">
            <w:pPr>
              <w:jc w:val="center"/>
              <w:rPr>
                <w:color w:val="auto"/>
                <w:sz w:val="24"/>
                <w:szCs w:val="24"/>
              </w:rPr>
            </w:pPr>
          </w:p>
        </w:tc>
        <w:tc>
          <w:tcPr>
            <w:tcW w:w="2410" w:type="dxa"/>
            <w:vMerge w:val="continue"/>
          </w:tcPr>
          <w:p w14:paraId="68698CDC">
            <w:pPr>
              <w:ind w:firstLine="284"/>
              <w:jc w:val="both"/>
              <w:rPr>
                <w:color w:val="auto"/>
                <w:sz w:val="24"/>
                <w:szCs w:val="24"/>
              </w:rPr>
            </w:pPr>
          </w:p>
        </w:tc>
      </w:tr>
      <w:tr w14:paraId="6165DD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74" w:hRule="atLeast"/>
          <w:jc w:val="center"/>
        </w:trPr>
        <w:tc>
          <w:tcPr>
            <w:tcW w:w="704" w:type="dxa"/>
          </w:tcPr>
          <w:p w14:paraId="47AF358E">
            <w:pPr>
              <w:numPr>
                <w:ilvl w:val="0"/>
                <w:numId w:val="1"/>
              </w:numPr>
              <w:tabs>
                <w:tab w:val="left" w:pos="425"/>
              </w:tabs>
              <w:ind w:left="501" w:leftChars="0" w:firstLineChars="0"/>
              <w:rPr>
                <w:color w:val="auto"/>
                <w:sz w:val="24"/>
                <w:szCs w:val="24"/>
              </w:rPr>
            </w:pPr>
          </w:p>
        </w:tc>
        <w:tc>
          <w:tcPr>
            <w:tcW w:w="1843" w:type="dxa"/>
          </w:tcPr>
          <w:p w14:paraId="77E3C819">
            <w:pPr>
              <w:tabs>
                <w:tab w:val="right" w:pos="8640"/>
              </w:tabs>
              <w:jc w:val="both"/>
              <w:rPr>
                <w:color w:val="auto"/>
                <w:sz w:val="24"/>
                <w:szCs w:val="24"/>
              </w:rPr>
            </w:pPr>
            <w:r>
              <w:rPr>
                <w:color w:val="auto"/>
                <w:sz w:val="24"/>
                <w:szCs w:val="24"/>
              </w:rPr>
              <w:t>Thông tư số 20/2022/TT-BKHCN ngày 30/12/2022 của Bộ trưởng Bộ Khoa học và Công nghệ quy định Danh mục và thời hạn định kỳ chuyển đổi vị trí công tác trong cơ quan, tổ chức, đơn vị thuộc lĩnh vực khoa học và công nghệ tại chính quyền địa phương</w:t>
            </w:r>
          </w:p>
        </w:tc>
        <w:tc>
          <w:tcPr>
            <w:tcW w:w="1417" w:type="dxa"/>
          </w:tcPr>
          <w:p w14:paraId="0B16A34A">
            <w:pPr>
              <w:tabs>
                <w:tab w:val="right" w:pos="8640"/>
              </w:tabs>
              <w:jc w:val="both"/>
              <w:rPr>
                <w:color w:val="auto"/>
                <w:sz w:val="24"/>
                <w:szCs w:val="24"/>
              </w:rPr>
            </w:pPr>
            <w:r>
              <w:rPr>
                <w:rFonts w:hint="default" w:ascii="Times New Roman" w:hAnsi="Times New Roman" w:eastAsia="SimSun" w:cs="Times New Roman"/>
                <w:i w:val="0"/>
                <w:iCs w:val="0"/>
                <w:color w:val="auto"/>
                <w:sz w:val="24"/>
                <w:szCs w:val="24"/>
                <w:u w:val="none"/>
                <w:vertAlign w:val="baseline"/>
              </w:rPr>
              <w:t>Nghị định số 225/2026/NĐ-CP ngày 24/6/2026 của Chính phủ quy định chức năng, nhiệm vụ, quyền hạn và cơ cấu tổ chức của Bộ Khoa học và Công nghệ</w:t>
            </w:r>
          </w:p>
        </w:tc>
        <w:tc>
          <w:tcPr>
            <w:tcW w:w="4051" w:type="dxa"/>
          </w:tcPr>
          <w:p w14:paraId="462742DD">
            <w:pPr>
              <w:jc w:val="both"/>
              <w:rPr>
                <w:color w:val="auto"/>
                <w:sz w:val="24"/>
                <w:szCs w:val="24"/>
              </w:rPr>
            </w:pPr>
            <w:r>
              <w:rPr>
                <w:color w:val="auto"/>
                <w:sz w:val="24"/>
                <w:szCs w:val="24"/>
              </w:rPr>
              <w:t>Chưa có một số lĩnh vực thuộc phạm vi quản lý nhà nước của Bộ KHCN: tần số vô tuyến điện, bưu chính, viễn thông, công nghệ thông tin.</w:t>
            </w:r>
          </w:p>
          <w:p w14:paraId="4F0DAE39">
            <w:pPr>
              <w:jc w:val="both"/>
              <w:rPr>
                <w:color w:val="auto"/>
                <w:sz w:val="24"/>
                <w:szCs w:val="24"/>
              </w:rPr>
            </w:pPr>
            <w:r>
              <w:rPr>
                <w:b/>
                <w:bCs/>
                <w:i/>
                <w:iCs/>
                <w:color w:val="auto"/>
                <w:sz w:val="24"/>
                <w:szCs w:val="24"/>
              </w:rPr>
              <w:t xml:space="preserve"> </w:t>
            </w:r>
          </w:p>
        </w:tc>
        <w:tc>
          <w:tcPr>
            <w:tcW w:w="1394" w:type="dxa"/>
          </w:tcPr>
          <w:p w14:paraId="51939CB1">
            <w:pPr>
              <w:spacing w:before="60"/>
              <w:jc w:val="both"/>
              <w:rPr>
                <w:color w:val="auto"/>
                <w:sz w:val="24"/>
                <w:szCs w:val="24"/>
              </w:rPr>
            </w:pPr>
            <w:r>
              <w:rPr>
                <w:rFonts w:hint="default"/>
                <w:color w:val="auto"/>
                <w:sz w:val="24"/>
                <w:szCs w:val="24"/>
                <w:lang w:val="en-US"/>
              </w:rPr>
              <w:t>T</w:t>
            </w:r>
            <w:r>
              <w:rPr>
                <w:color w:val="auto"/>
                <w:sz w:val="24"/>
                <w:szCs w:val="24"/>
              </w:rPr>
              <w:t xml:space="preserve">hay thế </w:t>
            </w:r>
          </w:p>
          <w:p w14:paraId="18024A33">
            <w:pPr>
              <w:jc w:val="both"/>
              <w:rPr>
                <w:color w:val="auto"/>
                <w:sz w:val="24"/>
                <w:szCs w:val="24"/>
              </w:rPr>
            </w:pPr>
          </w:p>
        </w:tc>
        <w:tc>
          <w:tcPr>
            <w:tcW w:w="1275" w:type="dxa"/>
          </w:tcPr>
          <w:p w14:paraId="549DB8F4">
            <w:pPr>
              <w:jc w:val="center"/>
              <w:rPr>
                <w:color w:val="auto"/>
                <w:sz w:val="24"/>
                <w:szCs w:val="24"/>
              </w:rPr>
            </w:pPr>
            <w:r>
              <w:rPr>
                <w:color w:val="auto"/>
                <w:sz w:val="24"/>
                <w:szCs w:val="24"/>
              </w:rPr>
              <w:t>2026 </w:t>
            </w:r>
          </w:p>
        </w:tc>
        <w:tc>
          <w:tcPr>
            <w:tcW w:w="1245" w:type="dxa"/>
          </w:tcPr>
          <w:p w14:paraId="7B06E315">
            <w:pPr>
              <w:jc w:val="center"/>
              <w:rPr>
                <w:color w:val="auto"/>
                <w:sz w:val="24"/>
                <w:szCs w:val="24"/>
              </w:rPr>
            </w:pPr>
            <w:r>
              <w:rPr>
                <w:color w:val="auto"/>
                <w:sz w:val="24"/>
                <w:szCs w:val="24"/>
              </w:rPr>
              <w:t>Tiêu chí  2</w:t>
            </w:r>
          </w:p>
        </w:tc>
        <w:tc>
          <w:tcPr>
            <w:tcW w:w="1308" w:type="dxa"/>
          </w:tcPr>
          <w:p w14:paraId="68E18133">
            <w:pPr>
              <w:jc w:val="center"/>
              <w:rPr>
                <w:color w:val="auto"/>
                <w:sz w:val="24"/>
                <w:szCs w:val="24"/>
              </w:rPr>
            </w:pPr>
          </w:p>
        </w:tc>
        <w:tc>
          <w:tcPr>
            <w:tcW w:w="2410" w:type="dxa"/>
            <w:vMerge w:val="restart"/>
          </w:tcPr>
          <w:p w14:paraId="25DA8ED5">
            <w:pPr>
              <w:ind w:firstLine="284"/>
              <w:jc w:val="both"/>
              <w:rPr>
                <w:color w:val="auto"/>
                <w:sz w:val="24"/>
                <w:szCs w:val="24"/>
              </w:rPr>
            </w:pPr>
            <w:r>
              <w:rPr>
                <w:color w:val="auto"/>
                <w:sz w:val="24"/>
                <w:szCs w:val="24"/>
              </w:rPr>
              <w:t xml:space="preserve">Tại thời điểm hiện nay, căn cứ rà soát là Nghị định số 55/2025/NĐ-CP ngày 02/3/2025 của Chính phủ quy định chức năng, nhiệm vụ, quyền hạn và cơ cấu tổ chức của Bộ Khoa học và Công nghệ </w:t>
            </w:r>
            <w:r>
              <w:rPr>
                <w:b/>
                <w:bCs/>
                <w:i/>
                <w:iCs/>
                <w:color w:val="auto"/>
                <w:sz w:val="24"/>
                <w:szCs w:val="24"/>
              </w:rPr>
              <w:t>đã hết hiệu lực</w:t>
            </w:r>
            <w:r>
              <w:rPr>
                <w:color w:val="auto"/>
                <w:sz w:val="24"/>
                <w:szCs w:val="24"/>
              </w:rPr>
              <w:t>, được thay thế bởi Nghị định số 225/2026/NĐ-CP ngày 24/6/2026 của Chính phủ quy định chức năng, nhiệm vụ, quyền hạn và cơ cấu tổ chức của Bộ Khoa học và Công nghệ. Đề nghị Bộ KHCN rà soát các Thông tư này với Nghị định số 225/2026/NĐ-CP để xác định các nội dung, quy định, hình thức xử lý đối với các Thông tư.</w:t>
            </w:r>
          </w:p>
        </w:tc>
      </w:tr>
      <w:tr w14:paraId="1ADC3E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21" w:hRule="atLeast"/>
          <w:jc w:val="center"/>
        </w:trPr>
        <w:tc>
          <w:tcPr>
            <w:tcW w:w="704" w:type="dxa"/>
          </w:tcPr>
          <w:p w14:paraId="71698909">
            <w:pPr>
              <w:numPr>
                <w:ilvl w:val="0"/>
                <w:numId w:val="1"/>
              </w:numPr>
              <w:tabs>
                <w:tab w:val="left" w:pos="425"/>
              </w:tabs>
              <w:ind w:left="501" w:leftChars="0" w:firstLineChars="0"/>
              <w:jc w:val="center"/>
              <w:rPr>
                <w:color w:val="auto"/>
                <w:sz w:val="24"/>
                <w:szCs w:val="24"/>
              </w:rPr>
            </w:pPr>
          </w:p>
        </w:tc>
        <w:tc>
          <w:tcPr>
            <w:tcW w:w="1843" w:type="dxa"/>
          </w:tcPr>
          <w:p w14:paraId="51382E14">
            <w:pPr>
              <w:tabs>
                <w:tab w:val="right" w:pos="8640"/>
              </w:tabs>
              <w:jc w:val="both"/>
              <w:rPr>
                <w:color w:val="auto"/>
                <w:sz w:val="24"/>
                <w:szCs w:val="24"/>
              </w:rPr>
            </w:pPr>
            <w:r>
              <w:rPr>
                <w:color w:val="auto"/>
                <w:sz w:val="24"/>
                <w:szCs w:val="24"/>
              </w:rPr>
              <w:t>Thông tư số 01/2023/TT-BTTTT ngày 01/02/2023 của Bộ trưởng Bộ Thông tin và Truyền thông quy định danh mục và thời hạn định kỳ chuyển đổi vị trí công tác trong lĩnh vực Thông tin và Truyền thông tại chính quyền địa phương</w:t>
            </w:r>
          </w:p>
        </w:tc>
        <w:tc>
          <w:tcPr>
            <w:tcW w:w="1417" w:type="dxa"/>
          </w:tcPr>
          <w:p w14:paraId="3D7C7D2D">
            <w:pPr>
              <w:tabs>
                <w:tab w:val="right" w:pos="8640"/>
              </w:tabs>
              <w:jc w:val="both"/>
              <w:rPr>
                <w:color w:val="auto"/>
                <w:sz w:val="24"/>
                <w:szCs w:val="24"/>
              </w:rPr>
            </w:pPr>
            <w:r>
              <w:rPr>
                <w:rFonts w:hint="default" w:ascii="Times New Roman" w:hAnsi="Times New Roman" w:eastAsia="SimSun" w:cs="Times New Roman"/>
                <w:i w:val="0"/>
                <w:iCs w:val="0"/>
                <w:color w:val="auto"/>
                <w:sz w:val="24"/>
                <w:szCs w:val="24"/>
                <w:u w:val="none"/>
                <w:vertAlign w:val="baseline"/>
              </w:rPr>
              <w:t>Nghị định số 225/2026/NĐ-CP ngày 24/6/2026 của Chính phủ quy định chức năng, nhiệm vụ, quyền hạn và cơ cấu tổ chức của Bộ Khoa học và Công nghệ</w:t>
            </w:r>
          </w:p>
        </w:tc>
        <w:tc>
          <w:tcPr>
            <w:tcW w:w="4051" w:type="dxa"/>
          </w:tcPr>
          <w:p w14:paraId="40EB2CBA">
            <w:pPr>
              <w:jc w:val="both"/>
              <w:rPr>
                <w:color w:val="auto"/>
                <w:sz w:val="24"/>
                <w:szCs w:val="24"/>
              </w:rPr>
            </w:pPr>
            <w:r>
              <w:rPr>
                <w:color w:val="auto"/>
                <w:sz w:val="24"/>
                <w:szCs w:val="24"/>
              </w:rPr>
              <w:t>Chưa có một số lĩnh vực thuộc phạm vi quản lý nhà nước của Bộ KHCN</w:t>
            </w:r>
          </w:p>
          <w:p w14:paraId="6AE34CC5">
            <w:pPr>
              <w:jc w:val="both"/>
              <w:rPr>
                <w:color w:val="auto"/>
                <w:sz w:val="24"/>
                <w:szCs w:val="24"/>
              </w:rPr>
            </w:pPr>
            <w:r>
              <w:rPr>
                <w:b/>
                <w:bCs/>
                <w:i/>
                <w:iCs/>
                <w:color w:val="auto"/>
                <w:sz w:val="24"/>
                <w:szCs w:val="24"/>
              </w:rPr>
              <w:t xml:space="preserve"> </w:t>
            </w:r>
          </w:p>
        </w:tc>
        <w:tc>
          <w:tcPr>
            <w:tcW w:w="1394" w:type="dxa"/>
          </w:tcPr>
          <w:p w14:paraId="04B9AD20">
            <w:pPr>
              <w:spacing w:before="60"/>
              <w:jc w:val="both"/>
              <w:rPr>
                <w:rFonts w:eastAsia="Verdana"/>
                <w:color w:val="auto"/>
                <w:sz w:val="24"/>
                <w:szCs w:val="24"/>
              </w:rPr>
            </w:pPr>
            <w:r>
              <w:rPr>
                <w:rFonts w:hint="default"/>
                <w:color w:val="auto"/>
                <w:sz w:val="24"/>
                <w:szCs w:val="24"/>
                <w:lang w:val="en-US"/>
              </w:rPr>
              <w:t>T</w:t>
            </w:r>
            <w:r>
              <w:rPr>
                <w:color w:val="auto"/>
                <w:sz w:val="24"/>
                <w:szCs w:val="24"/>
              </w:rPr>
              <w:t>hay thế </w:t>
            </w:r>
          </w:p>
        </w:tc>
        <w:tc>
          <w:tcPr>
            <w:tcW w:w="1275" w:type="dxa"/>
          </w:tcPr>
          <w:p w14:paraId="464D410A">
            <w:pPr>
              <w:jc w:val="center"/>
              <w:rPr>
                <w:color w:val="auto"/>
                <w:sz w:val="24"/>
                <w:szCs w:val="24"/>
              </w:rPr>
            </w:pPr>
            <w:r>
              <w:rPr>
                <w:rFonts w:hint="default"/>
                <w:color w:val="auto"/>
                <w:sz w:val="24"/>
                <w:szCs w:val="24"/>
                <w:lang w:val="en-US"/>
              </w:rPr>
              <w:t>Tháng 12/</w:t>
            </w:r>
            <w:r>
              <w:rPr>
                <w:color w:val="auto"/>
                <w:sz w:val="24"/>
                <w:szCs w:val="24"/>
              </w:rPr>
              <w:t>2026</w:t>
            </w:r>
          </w:p>
        </w:tc>
        <w:tc>
          <w:tcPr>
            <w:tcW w:w="1245" w:type="dxa"/>
          </w:tcPr>
          <w:p w14:paraId="6015A199">
            <w:pPr>
              <w:jc w:val="center"/>
              <w:rPr>
                <w:color w:val="auto"/>
                <w:sz w:val="24"/>
                <w:szCs w:val="24"/>
              </w:rPr>
            </w:pPr>
            <w:r>
              <w:rPr>
                <w:color w:val="auto"/>
                <w:sz w:val="24"/>
                <w:szCs w:val="24"/>
              </w:rPr>
              <w:t>Tiêu chí  2</w:t>
            </w:r>
          </w:p>
        </w:tc>
        <w:tc>
          <w:tcPr>
            <w:tcW w:w="1308" w:type="dxa"/>
          </w:tcPr>
          <w:p w14:paraId="0D08EEFA">
            <w:pPr>
              <w:jc w:val="center"/>
              <w:rPr>
                <w:color w:val="auto"/>
                <w:sz w:val="24"/>
                <w:szCs w:val="24"/>
              </w:rPr>
            </w:pPr>
          </w:p>
        </w:tc>
        <w:tc>
          <w:tcPr>
            <w:tcW w:w="2410" w:type="dxa"/>
            <w:vMerge w:val="continue"/>
          </w:tcPr>
          <w:p w14:paraId="39E9E555">
            <w:pPr>
              <w:ind w:firstLine="284"/>
              <w:jc w:val="both"/>
              <w:rPr>
                <w:color w:val="auto"/>
                <w:sz w:val="24"/>
                <w:szCs w:val="24"/>
              </w:rPr>
            </w:pPr>
          </w:p>
        </w:tc>
      </w:tr>
      <w:tr w14:paraId="033E1F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388" w:hRule="atLeast"/>
          <w:jc w:val="center"/>
        </w:trPr>
        <w:tc>
          <w:tcPr>
            <w:tcW w:w="704" w:type="dxa"/>
          </w:tcPr>
          <w:p w14:paraId="266C6FE3">
            <w:pPr>
              <w:numPr>
                <w:ilvl w:val="0"/>
                <w:numId w:val="1"/>
              </w:numPr>
              <w:tabs>
                <w:tab w:val="left" w:pos="425"/>
              </w:tabs>
              <w:ind w:left="501" w:leftChars="0" w:firstLineChars="0"/>
              <w:rPr>
                <w:color w:val="auto"/>
                <w:sz w:val="24"/>
                <w:szCs w:val="24"/>
              </w:rPr>
            </w:pPr>
          </w:p>
        </w:tc>
        <w:tc>
          <w:tcPr>
            <w:tcW w:w="1843" w:type="dxa"/>
          </w:tcPr>
          <w:p w14:paraId="6BF7217E">
            <w:pPr>
              <w:tabs>
                <w:tab w:val="right" w:pos="8640"/>
              </w:tabs>
              <w:jc w:val="both"/>
              <w:rPr>
                <w:color w:val="auto"/>
                <w:sz w:val="24"/>
                <w:szCs w:val="24"/>
              </w:rPr>
            </w:pPr>
            <w:r>
              <w:rPr>
                <w:color w:val="auto"/>
                <w:sz w:val="24"/>
                <w:szCs w:val="24"/>
              </w:rPr>
              <w:t>Thông tư số 17/2023/TT-BKHCN của Bộ trưởng Bộ KHCN hướng dẫn về vị trí việc làm lãnh đạo, quản lý và chức danh nghề nghiệp chuyên ngành khoa học và công nghệ, cơ cấu viên chức theo chức danh nghề nghiệp trong tổ chức KHCN công lập</w:t>
            </w:r>
          </w:p>
        </w:tc>
        <w:tc>
          <w:tcPr>
            <w:tcW w:w="1417" w:type="dxa"/>
          </w:tcPr>
          <w:p w14:paraId="6A6A0C49">
            <w:pPr>
              <w:jc w:val="center"/>
              <w:rPr>
                <w:color w:val="auto"/>
                <w:sz w:val="24"/>
                <w:szCs w:val="24"/>
              </w:rPr>
            </w:pPr>
            <w:r>
              <w:rPr>
                <w:color w:val="auto"/>
                <w:sz w:val="24"/>
                <w:szCs w:val="24"/>
              </w:rPr>
              <w:t>Nghị định số 55/2025/NĐ-CP</w:t>
            </w:r>
          </w:p>
        </w:tc>
        <w:tc>
          <w:tcPr>
            <w:tcW w:w="4051" w:type="dxa"/>
          </w:tcPr>
          <w:p w14:paraId="480D601B">
            <w:pPr>
              <w:jc w:val="both"/>
              <w:rPr>
                <w:color w:val="auto"/>
                <w:sz w:val="24"/>
                <w:szCs w:val="24"/>
              </w:rPr>
            </w:pPr>
            <w:r>
              <w:rPr>
                <w:color w:val="auto"/>
                <w:sz w:val="24"/>
                <w:szCs w:val="24"/>
              </w:rPr>
              <w:t>Bổ sung danh mục vị trí việc làm và bản mô tả công việc, khung năng lực của vị trí việc làm tương ứng với các lĩnh vực quản lý nhà nước mới của Bộ KHCN sau hợp nhất (tần số vô tuyến điện, viễn thông, bưu chính, công nghệ thông tin).</w:t>
            </w:r>
          </w:p>
          <w:p w14:paraId="595F2B3C">
            <w:pPr>
              <w:jc w:val="both"/>
              <w:rPr>
                <w:color w:val="auto"/>
                <w:sz w:val="24"/>
                <w:szCs w:val="24"/>
              </w:rPr>
            </w:pPr>
          </w:p>
        </w:tc>
        <w:tc>
          <w:tcPr>
            <w:tcW w:w="1394" w:type="dxa"/>
          </w:tcPr>
          <w:p w14:paraId="71CEE3B1">
            <w:pPr>
              <w:jc w:val="both"/>
              <w:rPr>
                <w:color w:val="auto"/>
                <w:sz w:val="24"/>
                <w:szCs w:val="24"/>
              </w:rPr>
            </w:pPr>
            <w:r>
              <w:rPr>
                <w:color w:val="auto"/>
                <w:sz w:val="24"/>
                <w:szCs w:val="24"/>
              </w:rPr>
              <w:t>Ban hành Thông tư sửa đổi, bổ sung hoặc thay thế</w:t>
            </w:r>
          </w:p>
        </w:tc>
        <w:tc>
          <w:tcPr>
            <w:tcW w:w="1275" w:type="dxa"/>
          </w:tcPr>
          <w:p w14:paraId="107B48CF">
            <w:pPr>
              <w:jc w:val="center"/>
              <w:rPr>
                <w:color w:val="auto"/>
                <w:sz w:val="24"/>
                <w:szCs w:val="24"/>
              </w:rPr>
            </w:pPr>
            <w:r>
              <w:rPr>
                <w:rFonts w:hint="default"/>
                <w:color w:val="auto"/>
                <w:sz w:val="24"/>
                <w:szCs w:val="24"/>
                <w:lang w:val="en-US"/>
              </w:rPr>
              <w:t>Tháng 12/</w:t>
            </w:r>
            <w:r>
              <w:rPr>
                <w:color w:val="auto"/>
                <w:sz w:val="24"/>
                <w:szCs w:val="24"/>
              </w:rPr>
              <w:t>2026</w:t>
            </w:r>
          </w:p>
        </w:tc>
        <w:tc>
          <w:tcPr>
            <w:tcW w:w="1245" w:type="dxa"/>
          </w:tcPr>
          <w:p w14:paraId="2CB08985">
            <w:pPr>
              <w:jc w:val="center"/>
              <w:rPr>
                <w:color w:val="auto"/>
                <w:sz w:val="24"/>
                <w:szCs w:val="24"/>
              </w:rPr>
            </w:pPr>
            <w:r>
              <w:rPr>
                <w:color w:val="auto"/>
                <w:sz w:val="24"/>
                <w:szCs w:val="24"/>
              </w:rPr>
              <w:t>Tiêu chí  2</w:t>
            </w:r>
          </w:p>
        </w:tc>
        <w:tc>
          <w:tcPr>
            <w:tcW w:w="1308" w:type="dxa"/>
          </w:tcPr>
          <w:p w14:paraId="0C4AED43">
            <w:pPr>
              <w:jc w:val="center"/>
              <w:rPr>
                <w:color w:val="auto"/>
                <w:sz w:val="24"/>
                <w:szCs w:val="24"/>
              </w:rPr>
            </w:pPr>
          </w:p>
        </w:tc>
        <w:tc>
          <w:tcPr>
            <w:tcW w:w="2410" w:type="dxa"/>
          </w:tcPr>
          <w:p w14:paraId="00A2CF3C">
            <w:pPr>
              <w:ind w:firstLine="284"/>
              <w:jc w:val="both"/>
              <w:rPr>
                <w:color w:val="auto"/>
                <w:sz w:val="24"/>
                <w:szCs w:val="24"/>
              </w:rPr>
            </w:pPr>
            <w:r>
              <w:rPr>
                <w:color w:val="auto"/>
                <w:sz w:val="24"/>
                <w:szCs w:val="24"/>
              </w:rPr>
              <w:t xml:space="preserve">Tại thời điểm hiện nay, căn cứ rà soát là Nghị định số 55/2025/NĐ-CP ngày 02/3/2025 của Chính phủ quy định chức năng, nhiệm vụ, quyền hạn và cơ cấu tổ chức của Bộ Khoa học và Công nghệ </w:t>
            </w:r>
            <w:r>
              <w:rPr>
                <w:b/>
                <w:bCs/>
                <w:i/>
                <w:iCs/>
                <w:color w:val="auto"/>
                <w:sz w:val="24"/>
                <w:szCs w:val="24"/>
              </w:rPr>
              <w:t>đã hết hiệu lực</w:t>
            </w:r>
            <w:r>
              <w:rPr>
                <w:color w:val="auto"/>
                <w:sz w:val="24"/>
                <w:szCs w:val="24"/>
              </w:rPr>
              <w:t>, được thay thế bởi Nghị định số 225/2026/NĐ-CP ngày 24/6/2026 của Chính phủ quy định chức năng, nhiệm vụ, quyền hạn và cơ cấu tổ chức của Bộ Khoa học và Công nghệ. Đề nghị Bộ KHCN rà soát Thông tư số 17/2023/TT-BKHCN với Nghị định số 225/2026/NĐ-CP để xác định các nội dung, quy định, hình thức xử lý đối với Thông tư số 17/2023/TT-BKHCN.</w:t>
            </w:r>
          </w:p>
        </w:tc>
      </w:tr>
      <w:tr w14:paraId="6E67E0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80" w:hRule="atLeast"/>
          <w:jc w:val="center"/>
        </w:trPr>
        <w:tc>
          <w:tcPr>
            <w:tcW w:w="704" w:type="dxa"/>
          </w:tcPr>
          <w:p w14:paraId="08A3C17B">
            <w:pPr>
              <w:numPr>
                <w:ilvl w:val="0"/>
                <w:numId w:val="1"/>
              </w:numPr>
              <w:tabs>
                <w:tab w:val="left" w:pos="425"/>
              </w:tabs>
              <w:ind w:left="501" w:leftChars="0" w:firstLineChars="0"/>
              <w:rPr>
                <w:color w:val="auto"/>
                <w:sz w:val="24"/>
                <w:szCs w:val="24"/>
              </w:rPr>
            </w:pPr>
          </w:p>
        </w:tc>
        <w:tc>
          <w:tcPr>
            <w:tcW w:w="1843" w:type="dxa"/>
          </w:tcPr>
          <w:p w14:paraId="3DB9F9D4">
            <w:pPr>
              <w:tabs>
                <w:tab w:val="right" w:pos="8640"/>
              </w:tabs>
              <w:jc w:val="both"/>
              <w:rPr>
                <w:color w:val="auto"/>
                <w:sz w:val="24"/>
                <w:szCs w:val="24"/>
              </w:rPr>
            </w:pPr>
            <w:r>
              <w:rPr>
                <w:color w:val="auto"/>
                <w:sz w:val="24"/>
                <w:szCs w:val="24"/>
              </w:rPr>
              <w:t>Thông tư số 03/2024/TT-BTTTT ngày 30/4/2024 Quy hoạch băng tần 1710-1785 MHz và 1805-1880 MHz cho hệ thống thông tin di động mặt đất công cộng IMT của Việt Nam</w:t>
            </w:r>
          </w:p>
        </w:tc>
        <w:tc>
          <w:tcPr>
            <w:tcW w:w="1417" w:type="dxa"/>
          </w:tcPr>
          <w:p w14:paraId="7502FC77">
            <w:pPr>
              <w:jc w:val="center"/>
              <w:rPr>
                <w:color w:val="auto"/>
                <w:sz w:val="24"/>
                <w:szCs w:val="24"/>
              </w:rPr>
            </w:pPr>
            <w:r>
              <w:rPr>
                <w:color w:val="auto"/>
                <w:sz w:val="24"/>
                <w:szCs w:val="24"/>
              </w:rPr>
              <w:t>Tình hình thực tiễn</w:t>
            </w:r>
          </w:p>
        </w:tc>
        <w:tc>
          <w:tcPr>
            <w:tcW w:w="4051" w:type="dxa"/>
          </w:tcPr>
          <w:p w14:paraId="1E85C11D">
            <w:pPr>
              <w:jc w:val="both"/>
              <w:rPr>
                <w:color w:val="auto"/>
                <w:sz w:val="24"/>
                <w:szCs w:val="24"/>
              </w:rPr>
            </w:pPr>
            <w:r>
              <w:rPr>
                <w:color w:val="auto"/>
                <w:sz w:val="24"/>
                <w:szCs w:val="24"/>
              </w:rPr>
              <w:t xml:space="preserve">Điểm c khoản 2 Điều 2 Thông tư số 03/2024/TT-BTTTT quy định: “Giới hạn tối đa tổng độ rộng băng tần mà một tổ chức được cấp phép sử dụng trong băng tần 1710-1785 MHz và 1805-1880 MHz là 2x20 MHz theo phương thức FDD. </w:t>
            </w:r>
          </w:p>
          <w:p w14:paraId="03FE43AB">
            <w:pPr>
              <w:jc w:val="both"/>
              <w:rPr>
                <w:color w:val="auto"/>
                <w:sz w:val="24"/>
                <w:szCs w:val="24"/>
              </w:rPr>
            </w:pPr>
            <w:r>
              <w:rPr>
                <w:color w:val="auto"/>
                <w:sz w:val="24"/>
                <w:szCs w:val="24"/>
              </w:rPr>
              <w:t xml:space="preserve">Hiện nay Nhà nước có chủ trương cấu trúc lại nhiều doanh nghiệp, có thể có các trường hợp sáp nhập, hợp nhất dẫn đến việc giảm số doanh nghiệp tham gia thị trường. Khi đó, với hiện trạng đã cấp và quy định giới hạn tối đa lượng băng tần mà doanh nghiệp được cấp phép hiện hành trong băng tần 1800 MHz, 2100 MHz, doanh nghiệp còn lại trong băng tần 2100 MHz hoặc 1800 MHz không tiếp cận được với phổ tần mà doanh nghiệp khác để lại. </w:t>
            </w:r>
          </w:p>
          <w:p w14:paraId="6B75C4C3">
            <w:pPr>
              <w:jc w:val="both"/>
              <w:rPr>
                <w:color w:val="auto"/>
                <w:sz w:val="24"/>
                <w:szCs w:val="24"/>
              </w:rPr>
            </w:pPr>
            <w:r>
              <w:rPr>
                <w:color w:val="auto"/>
                <w:sz w:val="24"/>
                <w:szCs w:val="24"/>
              </w:rPr>
              <w:t>Như vậy, quy định về mức CAP trong quy hoạch băng tần 1800 MHz theo Thông tư 03/2024/TT-BTTTT không phù hợp trong trường hợp sáp nhập, hợp nhất làm giảm doanh nghiệp tham gia thị trường.</w:t>
            </w:r>
          </w:p>
        </w:tc>
        <w:tc>
          <w:tcPr>
            <w:tcW w:w="1394" w:type="dxa"/>
          </w:tcPr>
          <w:p w14:paraId="1CC45B74">
            <w:pPr>
              <w:jc w:val="both"/>
              <w:rPr>
                <w:color w:val="auto"/>
                <w:sz w:val="24"/>
                <w:szCs w:val="24"/>
              </w:rPr>
            </w:pPr>
            <w:r>
              <w:rPr>
                <w:color w:val="auto"/>
                <w:sz w:val="24"/>
                <w:szCs w:val="24"/>
              </w:rPr>
              <w:t>Ban hành Thông tư sửa đổi, bổ sung</w:t>
            </w:r>
          </w:p>
        </w:tc>
        <w:tc>
          <w:tcPr>
            <w:tcW w:w="1275" w:type="dxa"/>
          </w:tcPr>
          <w:p w14:paraId="5126E452">
            <w:pPr>
              <w:jc w:val="center"/>
              <w:rPr>
                <w:color w:val="auto"/>
                <w:sz w:val="24"/>
                <w:szCs w:val="24"/>
              </w:rPr>
            </w:pPr>
            <w:r>
              <w:rPr>
                <w:rFonts w:hint="default"/>
                <w:color w:val="auto"/>
                <w:sz w:val="24"/>
                <w:szCs w:val="24"/>
                <w:lang w:val="en-US"/>
              </w:rPr>
              <w:t>Tháng 12/</w:t>
            </w:r>
            <w:r>
              <w:rPr>
                <w:color w:val="auto"/>
                <w:sz w:val="24"/>
                <w:szCs w:val="24"/>
              </w:rPr>
              <w:t>2026</w:t>
            </w:r>
          </w:p>
        </w:tc>
        <w:tc>
          <w:tcPr>
            <w:tcW w:w="1245" w:type="dxa"/>
          </w:tcPr>
          <w:p w14:paraId="3071F179">
            <w:pPr>
              <w:jc w:val="center"/>
              <w:rPr>
                <w:color w:val="auto"/>
                <w:sz w:val="24"/>
                <w:szCs w:val="24"/>
              </w:rPr>
            </w:pPr>
            <w:r>
              <w:rPr>
                <w:color w:val="auto"/>
                <w:sz w:val="24"/>
                <w:szCs w:val="24"/>
              </w:rPr>
              <w:t>Tiêu chí  6</w:t>
            </w:r>
          </w:p>
        </w:tc>
        <w:tc>
          <w:tcPr>
            <w:tcW w:w="1308" w:type="dxa"/>
          </w:tcPr>
          <w:p w14:paraId="570A2309">
            <w:pPr>
              <w:jc w:val="center"/>
              <w:rPr>
                <w:color w:val="auto"/>
                <w:sz w:val="24"/>
                <w:szCs w:val="24"/>
              </w:rPr>
            </w:pPr>
          </w:p>
        </w:tc>
        <w:tc>
          <w:tcPr>
            <w:tcW w:w="2410" w:type="dxa"/>
          </w:tcPr>
          <w:p w14:paraId="41B6972C">
            <w:pPr>
              <w:ind w:firstLine="284"/>
              <w:jc w:val="both"/>
              <w:rPr>
                <w:color w:val="auto"/>
                <w:sz w:val="24"/>
                <w:szCs w:val="24"/>
              </w:rPr>
            </w:pPr>
            <w:r>
              <w:rPr>
                <w:color w:val="auto"/>
                <w:sz w:val="24"/>
                <w:szCs w:val="24"/>
              </w:rPr>
              <w:t>Nhất trí</w:t>
            </w:r>
          </w:p>
        </w:tc>
      </w:tr>
      <w:tr w14:paraId="64FB64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777" w:hRule="atLeast"/>
          <w:jc w:val="center"/>
        </w:trPr>
        <w:tc>
          <w:tcPr>
            <w:tcW w:w="704" w:type="dxa"/>
          </w:tcPr>
          <w:p w14:paraId="1FFFAE54">
            <w:pPr>
              <w:numPr>
                <w:ilvl w:val="0"/>
                <w:numId w:val="1"/>
              </w:numPr>
              <w:tabs>
                <w:tab w:val="left" w:pos="425"/>
              </w:tabs>
              <w:ind w:left="501" w:leftChars="0" w:firstLineChars="0"/>
              <w:rPr>
                <w:color w:val="auto"/>
                <w:sz w:val="24"/>
                <w:szCs w:val="24"/>
              </w:rPr>
            </w:pPr>
          </w:p>
        </w:tc>
        <w:tc>
          <w:tcPr>
            <w:tcW w:w="1843" w:type="dxa"/>
          </w:tcPr>
          <w:p w14:paraId="175B42A5">
            <w:pPr>
              <w:tabs>
                <w:tab w:val="right" w:pos="8640"/>
              </w:tabs>
              <w:jc w:val="both"/>
              <w:rPr>
                <w:color w:val="auto"/>
                <w:sz w:val="24"/>
                <w:szCs w:val="24"/>
              </w:rPr>
            </w:pPr>
            <w:r>
              <w:rPr>
                <w:color w:val="auto"/>
                <w:sz w:val="24"/>
                <w:szCs w:val="24"/>
              </w:rPr>
              <w:t xml:space="preserve">Thông tư số 23/2025/TT-BKHCN ngày 20/10/2025 của Bộ trưởng Bộ KHCN </w:t>
            </w:r>
          </w:p>
        </w:tc>
        <w:tc>
          <w:tcPr>
            <w:tcW w:w="1417" w:type="dxa"/>
          </w:tcPr>
          <w:p w14:paraId="6DD5A714">
            <w:pPr>
              <w:jc w:val="both"/>
              <w:rPr>
                <w:color w:val="auto"/>
                <w:sz w:val="24"/>
                <w:szCs w:val="24"/>
              </w:rPr>
            </w:pPr>
            <w:r>
              <w:rPr>
                <w:color w:val="auto"/>
                <w:sz w:val="24"/>
                <w:szCs w:val="24"/>
              </w:rPr>
              <w:t>Nghị định số 179/2025/NĐ-CP ngày 01/7/2025 của Chính phủ thuộc chức năng quản lý nhà nước của Bộ KHCN</w:t>
            </w:r>
          </w:p>
        </w:tc>
        <w:tc>
          <w:tcPr>
            <w:tcW w:w="4051" w:type="dxa"/>
          </w:tcPr>
          <w:p w14:paraId="002D3DBD">
            <w:pPr>
              <w:jc w:val="both"/>
              <w:rPr>
                <w:color w:val="auto"/>
                <w:sz w:val="24"/>
                <w:szCs w:val="24"/>
              </w:rPr>
            </w:pPr>
            <w:r>
              <w:rPr>
                <w:color w:val="auto"/>
                <w:sz w:val="24"/>
                <w:szCs w:val="24"/>
              </w:rPr>
              <w:t xml:space="preserve">Điều 3 và Phụ lục I quy định danh mục, bản mô tả công việc và khung năng lực của VTVL chuyên trách về chuyển đổi số áp dụng đối với công chức được hưởng mức hỗ trợ theo quy định tại Nghị định số 179/2025/NĐ-CP của Chính phủ. Theo đó, việc hướng dẫn đối với VTVL công chức được hưởng mức hỗ trợ theo quy định tại Nghị định số 179/2025/NĐ-CP được xây dựng căn cứ theo Nghị định số 62/2020/NĐ-CP , Thông tư số 09/2023/TT-BTTTT  và Thông tư số 06/2024/TT-BNV . </w:t>
            </w:r>
          </w:p>
          <w:p w14:paraId="480333E0">
            <w:pPr>
              <w:jc w:val="both"/>
              <w:rPr>
                <w:color w:val="auto"/>
                <w:sz w:val="24"/>
                <w:szCs w:val="24"/>
              </w:rPr>
            </w:pPr>
            <w:r>
              <w:rPr>
                <w:color w:val="auto"/>
                <w:sz w:val="24"/>
                <w:szCs w:val="24"/>
              </w:rPr>
              <w:t>Ngày 31/12/2025, Chính phủ đã ban hành Nghị định số 361/2025/NĐ-CP quy định về VTVL công chức (Nghị định số 361/2025/NĐ-CP), có hiệu lực thi hành ngay và thay thế các quy định về VTVL quy định tại Nghị định số 62/2020/NĐ-CP . Theo đó, danh mục VTVL, mẫu bản mô tả công việc và khung năng lực được quy định tại Nghị định số 361/2025/NĐ-CP và áp dụng thống nhất từ Trung ương đến địa phương. Các bộ quản lý ngành không phải hướng dẫn VTVL như trước đây. Vì vậy, các đơn vị khi xây dựng VTVL chỉ căn cứ Nghị định số 361/2025/NĐ-CP mà không căn cứ Thông tư hướng dẫn của các Bộ quản lý ngành như trước đây. Đồng thời, các Thông tư hướng dẫn VTVL của các bộ quản lý ngành không còn hiệu lực thi hành, trong đó có Thông tư số 09/2023/TT-BTTTT và Thông tư số 06/2024/TT-BNV.</w:t>
            </w:r>
          </w:p>
          <w:p w14:paraId="74664F09">
            <w:pPr>
              <w:jc w:val="both"/>
              <w:rPr>
                <w:color w:val="auto"/>
                <w:sz w:val="24"/>
                <w:szCs w:val="24"/>
              </w:rPr>
            </w:pPr>
            <w:r>
              <w:rPr>
                <w:color w:val="auto"/>
                <w:sz w:val="24"/>
                <w:szCs w:val="24"/>
              </w:rPr>
              <w:t>Bên cạnh đó, về danh mục VTVL, mẫu bản mô tả công việc và khung năng lực của nhóm VTVL về chuyển đổi số được quy định tại Nghị định số 361/2025/NĐ-CP cũng có nhiều thay đổi so với quy định tại Thông tư số 23/2025/TT-BKHCN (như: bổ sung nhóm VTVL về quản lý công nghiệp công nghệ số; nhóm VTVL về quản lý ứng dụng công nghệ thông tin và chuyển đổi số; nhóm VTVL về quản lý kinh tế số; nhóm VTVL về quản lý xã hội số,...). Thêm vào đó, tên VTVL, bản mô tả công việc và khung năng lực của VTVL chuyên trách về chuyển đổi số áp dụng đối với công chức theo quy định tại Phụ lục I Thông tư số 23/2025/TT-BKHCN của Nhóm VTVL về quản lý công nghệ thông tin  và Nhóm VTVL về công nghệ thông tin  đã không còn được quy định tại Nghị định số 361/2025/NĐ-CP.</w:t>
            </w:r>
          </w:p>
          <w:p w14:paraId="590225DD">
            <w:pPr>
              <w:jc w:val="both"/>
              <w:rPr>
                <w:color w:val="auto"/>
                <w:sz w:val="24"/>
                <w:szCs w:val="24"/>
              </w:rPr>
            </w:pPr>
            <w:r>
              <w:rPr>
                <w:color w:val="auto"/>
                <w:sz w:val="24"/>
                <w:szCs w:val="24"/>
              </w:rPr>
              <w:t>Do vậy, nội dung hướng dẫn VTVL được hưởng hỗ trợ đối với người làm công tác chuyên trách về chuyển đổi số trong Thông tư số 23/2025/TT-BKHCN hiện nay có những quy định không còn phù hợp.</w:t>
            </w:r>
          </w:p>
        </w:tc>
        <w:tc>
          <w:tcPr>
            <w:tcW w:w="1394" w:type="dxa"/>
          </w:tcPr>
          <w:p w14:paraId="3F13807C">
            <w:pPr>
              <w:jc w:val="both"/>
              <w:rPr>
                <w:color w:val="auto"/>
                <w:sz w:val="24"/>
                <w:szCs w:val="24"/>
              </w:rPr>
            </w:pPr>
            <w:r>
              <w:rPr>
                <w:color w:val="auto"/>
                <w:sz w:val="24"/>
                <w:szCs w:val="24"/>
              </w:rPr>
              <w:t>Thông tư sửa đổi, bổ sung</w:t>
            </w:r>
          </w:p>
        </w:tc>
        <w:tc>
          <w:tcPr>
            <w:tcW w:w="1275" w:type="dxa"/>
          </w:tcPr>
          <w:p w14:paraId="45C9F286">
            <w:pPr>
              <w:jc w:val="center"/>
              <w:rPr>
                <w:color w:val="auto"/>
                <w:sz w:val="24"/>
                <w:szCs w:val="24"/>
              </w:rPr>
            </w:pPr>
            <w:r>
              <w:rPr>
                <w:rFonts w:hint="default"/>
                <w:color w:val="auto"/>
                <w:sz w:val="24"/>
                <w:szCs w:val="24"/>
                <w:lang w:val="en-US"/>
              </w:rPr>
              <w:t>Tháng 12/</w:t>
            </w:r>
            <w:r>
              <w:rPr>
                <w:color w:val="auto"/>
                <w:sz w:val="24"/>
                <w:szCs w:val="24"/>
              </w:rPr>
              <w:t>2026</w:t>
            </w:r>
          </w:p>
        </w:tc>
        <w:tc>
          <w:tcPr>
            <w:tcW w:w="1245" w:type="dxa"/>
          </w:tcPr>
          <w:p w14:paraId="2214D412">
            <w:pPr>
              <w:jc w:val="center"/>
              <w:rPr>
                <w:color w:val="auto"/>
                <w:sz w:val="24"/>
                <w:szCs w:val="24"/>
              </w:rPr>
            </w:pPr>
            <w:r>
              <w:rPr>
                <w:color w:val="auto"/>
                <w:sz w:val="24"/>
                <w:szCs w:val="24"/>
              </w:rPr>
              <w:t>Tiêu chí 2</w:t>
            </w:r>
          </w:p>
        </w:tc>
        <w:tc>
          <w:tcPr>
            <w:tcW w:w="1308" w:type="dxa"/>
          </w:tcPr>
          <w:p w14:paraId="28C04EB9">
            <w:pPr>
              <w:jc w:val="center"/>
              <w:rPr>
                <w:color w:val="auto"/>
                <w:sz w:val="24"/>
                <w:szCs w:val="24"/>
              </w:rPr>
            </w:pPr>
          </w:p>
        </w:tc>
        <w:tc>
          <w:tcPr>
            <w:tcW w:w="2410" w:type="dxa"/>
          </w:tcPr>
          <w:p w14:paraId="3181028A">
            <w:pPr>
              <w:ind w:firstLine="284"/>
              <w:jc w:val="both"/>
              <w:rPr>
                <w:rFonts w:hint="default"/>
                <w:color w:val="auto"/>
                <w:sz w:val="24"/>
                <w:szCs w:val="24"/>
                <w:lang w:val="en-US"/>
              </w:rPr>
            </w:pPr>
            <w:r>
              <w:rPr>
                <w:rFonts w:hint="default"/>
                <w:color w:val="auto"/>
                <w:sz w:val="24"/>
                <w:szCs w:val="24"/>
                <w:lang w:val="en-US"/>
              </w:rPr>
              <w:t xml:space="preserve"> </w:t>
            </w:r>
          </w:p>
          <w:p w14:paraId="3EA0A822">
            <w:pPr>
              <w:ind w:firstLine="284"/>
              <w:jc w:val="both"/>
              <w:rPr>
                <w:color w:val="auto"/>
                <w:sz w:val="24"/>
                <w:szCs w:val="24"/>
              </w:rPr>
            </w:pPr>
            <w:r>
              <w:rPr>
                <w:color w:val="auto"/>
                <w:sz w:val="24"/>
                <w:szCs w:val="24"/>
              </w:rPr>
              <w:t>Nhất trí</w:t>
            </w:r>
          </w:p>
        </w:tc>
      </w:tr>
      <w:tr w14:paraId="3BE73F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388" w:hRule="atLeast"/>
          <w:jc w:val="center"/>
        </w:trPr>
        <w:tc>
          <w:tcPr>
            <w:tcW w:w="704" w:type="dxa"/>
          </w:tcPr>
          <w:p w14:paraId="6B410A2C">
            <w:pPr>
              <w:numPr>
                <w:ilvl w:val="0"/>
                <w:numId w:val="1"/>
              </w:numPr>
              <w:tabs>
                <w:tab w:val="left" w:pos="425"/>
              </w:tabs>
              <w:ind w:left="501" w:leftChars="0" w:firstLineChars="0"/>
              <w:rPr>
                <w:color w:val="auto"/>
                <w:sz w:val="24"/>
                <w:szCs w:val="24"/>
              </w:rPr>
            </w:pPr>
          </w:p>
        </w:tc>
        <w:tc>
          <w:tcPr>
            <w:tcW w:w="1843" w:type="dxa"/>
          </w:tcPr>
          <w:p w14:paraId="7FC8F2F2">
            <w:pPr>
              <w:tabs>
                <w:tab w:val="right" w:pos="8640"/>
              </w:tabs>
              <w:jc w:val="both"/>
              <w:rPr>
                <w:color w:val="auto"/>
                <w:sz w:val="24"/>
                <w:szCs w:val="24"/>
              </w:rPr>
            </w:pPr>
            <w:r>
              <w:rPr>
                <w:color w:val="auto"/>
                <w:sz w:val="24"/>
                <w:szCs w:val="24"/>
              </w:rPr>
              <w:t>Thông tư số 37/2025/TT-BKHCN ngày 28/11/2025 của Bộ trưởng Bộ KH&amp;CN quy định mã số, tiêu chuẩn chức danh khoa học, chức danh công nghệ; thành tích, kết quả khoa học, công nghệ và đổi mới sáng tạo để xét bổ nhiệm vào chức danh khoa học, chức danh công nghệ cao hơn không phụ thuộc vào năm công tác.</w:t>
            </w:r>
          </w:p>
        </w:tc>
        <w:tc>
          <w:tcPr>
            <w:tcW w:w="1417" w:type="dxa"/>
          </w:tcPr>
          <w:p w14:paraId="551C4562">
            <w:pPr>
              <w:jc w:val="center"/>
              <w:rPr>
                <w:color w:val="auto"/>
                <w:sz w:val="24"/>
                <w:szCs w:val="24"/>
              </w:rPr>
            </w:pPr>
            <w:r>
              <w:rPr>
                <w:color w:val="auto"/>
                <w:sz w:val="24"/>
                <w:szCs w:val="24"/>
              </w:rPr>
              <w:t>Luật Viên chức số 129/2025/QH15</w:t>
            </w:r>
          </w:p>
        </w:tc>
        <w:tc>
          <w:tcPr>
            <w:tcW w:w="4051" w:type="dxa"/>
          </w:tcPr>
          <w:p w14:paraId="50B2F301">
            <w:pPr>
              <w:pStyle w:val="15"/>
              <w:keepNext w:val="0"/>
              <w:keepLines w:val="0"/>
              <w:widowControl/>
              <w:suppressLineNumbers w:val="0"/>
              <w:bidi w:val="0"/>
              <w:spacing w:before="0" w:beforeAutospacing="0" w:after="0" w:afterAutospacing="0" w:line="15" w:lineRule="atLeast"/>
              <w:jc w:val="both"/>
              <w:rPr>
                <w:color w:val="auto"/>
              </w:rPr>
            </w:pPr>
            <w:r>
              <w:rPr>
                <w:rFonts w:hint="default" w:ascii="Times New Roman" w:hAnsi="Times New Roman" w:cs="Times New Roman"/>
                <w:i w:val="0"/>
                <w:iCs w:val="0"/>
                <w:color w:val="auto"/>
                <w:sz w:val="24"/>
                <w:szCs w:val="24"/>
                <w:u w:val="none"/>
                <w:vertAlign w:val="baseline"/>
              </w:rPr>
              <w:t>- Luật Viên chức và văn bản hướng dẫn không còn quy định về mã số, bỏ quy định về mã số tại Thông tư số 37/2025/TT-BKHCN;</w:t>
            </w:r>
          </w:p>
          <w:p w14:paraId="60DD604B">
            <w:pPr>
              <w:pStyle w:val="15"/>
              <w:keepNext w:val="0"/>
              <w:keepLines w:val="0"/>
              <w:widowControl/>
              <w:suppressLineNumbers w:val="0"/>
              <w:bidi w:val="0"/>
              <w:spacing w:before="0" w:beforeAutospacing="0" w:after="0" w:afterAutospacing="0" w:line="15" w:lineRule="atLeast"/>
              <w:jc w:val="both"/>
              <w:rPr>
                <w:color w:val="auto"/>
              </w:rPr>
            </w:pPr>
            <w:r>
              <w:rPr>
                <w:rFonts w:hint="default" w:ascii="Times New Roman" w:hAnsi="Times New Roman" w:cs="Times New Roman"/>
                <w:i w:val="0"/>
                <w:iCs w:val="0"/>
                <w:color w:val="auto"/>
                <w:sz w:val="24"/>
                <w:szCs w:val="24"/>
                <w:u w:val="none"/>
                <w:vertAlign w:val="baseline"/>
              </w:rPr>
              <w:t>- Chương III. Thành tích, kết quả khoa học, công nghệ và đổi mới sáng tạo để xét bổ nhiệm vào chức danh khoa học, chức danh công nghệ cao hơn không phụ thuộc vào năm công tác. Tuy nhiên, Luật Viên chức số 129/2025/QH15 có hiệu lực từ ngày 01/7/2026 không có quy định chức danh nghề nghiệp, bổ nhiệm chức danh nghề nghiệp cao hơn. </w:t>
            </w:r>
          </w:p>
          <w:p w14:paraId="721CE429">
            <w:pPr>
              <w:pStyle w:val="15"/>
              <w:keepNext w:val="0"/>
              <w:keepLines w:val="0"/>
              <w:widowControl/>
              <w:suppressLineNumbers w:val="0"/>
              <w:bidi w:val="0"/>
              <w:spacing w:before="0" w:beforeAutospacing="0" w:after="0" w:afterAutospacing="0" w:line="15" w:lineRule="atLeast"/>
              <w:jc w:val="both"/>
              <w:rPr>
                <w:color w:val="auto"/>
              </w:rPr>
            </w:pPr>
            <w:r>
              <w:rPr>
                <w:rFonts w:hint="default" w:ascii="Times New Roman" w:hAnsi="Times New Roman" w:cs="Times New Roman"/>
                <w:i w:val="0"/>
                <w:iCs w:val="0"/>
                <w:color w:val="auto"/>
                <w:sz w:val="24"/>
                <w:szCs w:val="24"/>
                <w:u w:val="none"/>
                <w:vertAlign w:val="baseline"/>
              </w:rPr>
              <w:t>- Phương thức xử lý: Thông tư sửa đổi, bổ sung hoặc thay thế</w:t>
            </w:r>
          </w:p>
          <w:p w14:paraId="10CE39A7">
            <w:pPr>
              <w:jc w:val="both"/>
              <w:rPr>
                <w:color w:val="auto"/>
                <w:sz w:val="24"/>
                <w:szCs w:val="24"/>
              </w:rPr>
            </w:pPr>
          </w:p>
        </w:tc>
        <w:tc>
          <w:tcPr>
            <w:tcW w:w="1394" w:type="dxa"/>
          </w:tcPr>
          <w:p w14:paraId="55045E08">
            <w:pPr>
              <w:jc w:val="both"/>
              <w:rPr>
                <w:color w:val="auto"/>
                <w:sz w:val="24"/>
                <w:szCs w:val="24"/>
              </w:rPr>
            </w:pPr>
            <w:r>
              <w:rPr>
                <w:color w:val="auto"/>
                <w:sz w:val="24"/>
                <w:szCs w:val="24"/>
              </w:rPr>
              <w:t>Bãi bỏ quy định tại Chương III Thông tư số 37</w:t>
            </w:r>
          </w:p>
        </w:tc>
        <w:tc>
          <w:tcPr>
            <w:tcW w:w="1275" w:type="dxa"/>
          </w:tcPr>
          <w:p w14:paraId="6FE6EA36">
            <w:pPr>
              <w:jc w:val="center"/>
              <w:rPr>
                <w:color w:val="auto"/>
                <w:sz w:val="24"/>
                <w:szCs w:val="24"/>
              </w:rPr>
            </w:pPr>
            <w:r>
              <w:rPr>
                <w:rFonts w:hint="default" w:ascii="Times New Roman" w:hAnsi="Times New Roman" w:eastAsia="SimSun" w:cs="Times New Roman"/>
                <w:i w:val="0"/>
                <w:iCs w:val="0"/>
                <w:color w:val="auto"/>
                <w:sz w:val="26"/>
                <w:szCs w:val="26"/>
                <w:u w:val="none"/>
                <w:vertAlign w:val="baseline"/>
              </w:rPr>
              <w:t>Thực hiện theo Kế hoạch triển khai Nghị định sửa đổi, bổ sung một số Điều của  Nghị định số 263/2025/NĐ-CP</w:t>
            </w:r>
            <w:r>
              <w:rPr>
                <w:rFonts w:hint="default" w:ascii="Times New Roman" w:hAnsi="Times New Roman" w:eastAsia="SimSun" w:cs="Times New Roman"/>
                <w:i w:val="0"/>
                <w:iCs w:val="0"/>
                <w:color w:val="auto"/>
                <w:sz w:val="26"/>
                <w:szCs w:val="26"/>
                <w:u w:val="none"/>
                <w:vertAlign w:val="baseline"/>
                <w:lang w:val="en-US"/>
              </w:rPr>
              <w:t xml:space="preserve"> nêu trên</w:t>
            </w:r>
            <w:r>
              <w:rPr>
                <w:color w:val="auto"/>
                <w:sz w:val="24"/>
                <w:szCs w:val="24"/>
              </w:rPr>
              <w:t xml:space="preserve"> </w:t>
            </w:r>
          </w:p>
        </w:tc>
        <w:tc>
          <w:tcPr>
            <w:tcW w:w="1245" w:type="dxa"/>
          </w:tcPr>
          <w:p w14:paraId="3EC0CAFA">
            <w:pPr>
              <w:jc w:val="center"/>
              <w:rPr>
                <w:color w:val="auto"/>
                <w:sz w:val="24"/>
                <w:szCs w:val="24"/>
              </w:rPr>
            </w:pPr>
            <w:r>
              <w:rPr>
                <w:color w:val="auto"/>
                <w:sz w:val="24"/>
                <w:szCs w:val="24"/>
              </w:rPr>
              <w:t>Tiêu chí 2</w:t>
            </w:r>
          </w:p>
        </w:tc>
        <w:tc>
          <w:tcPr>
            <w:tcW w:w="1308" w:type="dxa"/>
          </w:tcPr>
          <w:p w14:paraId="6C764C79">
            <w:pPr>
              <w:jc w:val="center"/>
              <w:rPr>
                <w:color w:val="auto"/>
                <w:sz w:val="24"/>
                <w:szCs w:val="24"/>
              </w:rPr>
            </w:pPr>
          </w:p>
        </w:tc>
        <w:tc>
          <w:tcPr>
            <w:tcW w:w="2410" w:type="dxa"/>
          </w:tcPr>
          <w:p w14:paraId="2FD3CC91">
            <w:pPr>
              <w:ind w:firstLine="284"/>
              <w:jc w:val="both"/>
              <w:rPr>
                <w:color w:val="auto"/>
                <w:sz w:val="24"/>
                <w:szCs w:val="24"/>
              </w:rPr>
            </w:pPr>
            <w:r>
              <w:rPr>
                <w:color w:val="auto"/>
                <w:sz w:val="24"/>
                <w:szCs w:val="24"/>
              </w:rPr>
              <w:t>Cần làm rõ, hoàn thiện thêm lộ trình xử lý văn bản.</w:t>
            </w:r>
          </w:p>
          <w:p w14:paraId="69F430E8">
            <w:pPr>
              <w:ind w:firstLine="284"/>
              <w:jc w:val="both"/>
              <w:rPr>
                <w:color w:val="auto"/>
                <w:sz w:val="24"/>
                <w:szCs w:val="24"/>
              </w:rPr>
            </w:pPr>
          </w:p>
        </w:tc>
      </w:tr>
      <w:tr w14:paraId="6CAC12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714" w:hRule="atLeast"/>
          <w:jc w:val="center"/>
        </w:trPr>
        <w:tc>
          <w:tcPr>
            <w:tcW w:w="704" w:type="dxa"/>
          </w:tcPr>
          <w:p w14:paraId="4083CCA1">
            <w:pPr>
              <w:numPr>
                <w:ilvl w:val="0"/>
                <w:numId w:val="1"/>
              </w:numPr>
              <w:tabs>
                <w:tab w:val="left" w:pos="425"/>
              </w:tabs>
              <w:ind w:left="501" w:leftChars="0" w:firstLineChars="0"/>
              <w:rPr>
                <w:color w:val="auto"/>
                <w:sz w:val="24"/>
                <w:szCs w:val="24"/>
              </w:rPr>
            </w:pPr>
          </w:p>
        </w:tc>
        <w:tc>
          <w:tcPr>
            <w:tcW w:w="1843" w:type="dxa"/>
          </w:tcPr>
          <w:p w14:paraId="11D42F01">
            <w:pPr>
              <w:tabs>
                <w:tab w:val="right" w:pos="8640"/>
              </w:tabs>
              <w:jc w:val="both"/>
              <w:rPr>
                <w:color w:val="auto"/>
                <w:sz w:val="24"/>
                <w:szCs w:val="24"/>
              </w:rPr>
            </w:pPr>
            <w:r>
              <w:rPr>
                <w:color w:val="auto"/>
                <w:sz w:val="24"/>
                <w:szCs w:val="24"/>
              </w:rPr>
              <w:t>Thông tư số 43/2025/TT-BKHCN ngày 30/11/2025 quy định quản lý hỗ trợ hoạt động nâng cao năng lực khoa học và công nghệ</w:t>
            </w:r>
          </w:p>
        </w:tc>
        <w:tc>
          <w:tcPr>
            <w:tcW w:w="1417" w:type="dxa"/>
          </w:tcPr>
          <w:p w14:paraId="6342A742">
            <w:pPr>
              <w:jc w:val="center"/>
              <w:rPr>
                <w:color w:val="auto"/>
                <w:sz w:val="24"/>
                <w:szCs w:val="24"/>
              </w:rPr>
            </w:pPr>
            <w:r>
              <w:rPr>
                <w:color w:val="auto"/>
                <w:sz w:val="24"/>
                <w:szCs w:val="24"/>
              </w:rPr>
              <w:t>Tình hình thực tiễn</w:t>
            </w:r>
          </w:p>
        </w:tc>
        <w:tc>
          <w:tcPr>
            <w:tcW w:w="4051" w:type="dxa"/>
          </w:tcPr>
          <w:p w14:paraId="7A27D14D">
            <w:pPr>
              <w:jc w:val="both"/>
              <w:rPr>
                <w:rFonts w:hint="default"/>
                <w:color w:val="auto"/>
                <w:sz w:val="24"/>
                <w:szCs w:val="24"/>
                <w:lang w:val="en-US"/>
              </w:rPr>
            </w:pPr>
            <w:r>
              <w:rPr>
                <w:color w:val="auto"/>
                <w:sz w:val="24"/>
                <w:szCs w:val="24"/>
              </w:rPr>
              <w:t>Điểm a, điểm b Khoản 2 Điều 19  chưa thể hiện rõ vai trò của Quỹ trong việc rà soát, thẩm định kinh phí</w:t>
            </w:r>
            <w:r>
              <w:rPr>
                <w:rFonts w:hint="default"/>
                <w:color w:val="auto"/>
                <w:sz w:val="24"/>
                <w:szCs w:val="24"/>
                <w:lang w:val="en-US"/>
              </w:rPr>
              <w:t>, vì vậy, cần sửa đổi, bổ sung quy định này để bảo đảm thống nhất. Tránh lúng túng, cách hiểu khác nhau khi thực hiện.</w:t>
            </w:r>
          </w:p>
        </w:tc>
        <w:tc>
          <w:tcPr>
            <w:tcW w:w="1394" w:type="dxa"/>
          </w:tcPr>
          <w:p w14:paraId="76B26DB3">
            <w:pPr>
              <w:jc w:val="both"/>
              <w:rPr>
                <w:color w:val="auto"/>
                <w:sz w:val="24"/>
                <w:szCs w:val="24"/>
              </w:rPr>
            </w:pPr>
            <w:r>
              <w:rPr>
                <w:color w:val="auto"/>
                <w:sz w:val="24"/>
                <w:szCs w:val="24"/>
              </w:rPr>
              <w:t>sửa đổi, bổ sung</w:t>
            </w:r>
          </w:p>
        </w:tc>
        <w:tc>
          <w:tcPr>
            <w:tcW w:w="1275" w:type="dxa"/>
          </w:tcPr>
          <w:p w14:paraId="73696F95">
            <w:pPr>
              <w:jc w:val="center"/>
              <w:rPr>
                <w:color w:val="auto"/>
                <w:sz w:val="24"/>
                <w:szCs w:val="24"/>
              </w:rPr>
            </w:pPr>
            <w:r>
              <w:rPr>
                <w:rFonts w:hint="default"/>
                <w:color w:val="auto"/>
                <w:sz w:val="24"/>
                <w:szCs w:val="24"/>
                <w:lang w:val="en-US"/>
              </w:rPr>
              <w:t>Tháng 12/</w:t>
            </w:r>
            <w:r>
              <w:rPr>
                <w:color w:val="auto"/>
                <w:sz w:val="24"/>
                <w:szCs w:val="24"/>
              </w:rPr>
              <w:t>2027</w:t>
            </w:r>
          </w:p>
        </w:tc>
        <w:tc>
          <w:tcPr>
            <w:tcW w:w="1245" w:type="dxa"/>
          </w:tcPr>
          <w:p w14:paraId="0B2FA814">
            <w:pPr>
              <w:jc w:val="center"/>
              <w:rPr>
                <w:color w:val="auto"/>
                <w:sz w:val="24"/>
                <w:szCs w:val="24"/>
              </w:rPr>
            </w:pPr>
            <w:r>
              <w:rPr>
                <w:color w:val="auto"/>
                <w:sz w:val="24"/>
                <w:szCs w:val="24"/>
              </w:rPr>
              <w:t>Tiêu chí 5</w:t>
            </w:r>
          </w:p>
        </w:tc>
        <w:tc>
          <w:tcPr>
            <w:tcW w:w="1308" w:type="dxa"/>
          </w:tcPr>
          <w:p w14:paraId="37828669">
            <w:pPr>
              <w:jc w:val="center"/>
              <w:rPr>
                <w:color w:val="auto"/>
                <w:sz w:val="24"/>
                <w:szCs w:val="24"/>
              </w:rPr>
            </w:pPr>
          </w:p>
        </w:tc>
        <w:tc>
          <w:tcPr>
            <w:tcW w:w="2410" w:type="dxa"/>
          </w:tcPr>
          <w:p w14:paraId="18BE697D">
            <w:pPr>
              <w:widowControl w:val="0"/>
              <w:spacing w:line="276" w:lineRule="auto"/>
              <w:ind w:firstLine="284"/>
              <w:jc w:val="both"/>
              <w:rPr>
                <w:color w:val="auto"/>
                <w:sz w:val="24"/>
                <w:szCs w:val="24"/>
              </w:rPr>
            </w:pPr>
            <w:r>
              <w:rPr>
                <w:color w:val="auto"/>
                <w:sz w:val="24"/>
                <w:szCs w:val="24"/>
              </w:rPr>
              <w:t>Cần làm rõ, hoàn thiện thêm các nội dung quy định cần xử lý.</w:t>
            </w:r>
          </w:p>
          <w:p w14:paraId="328EDBE3">
            <w:pPr>
              <w:widowControl w:val="0"/>
              <w:spacing w:line="276" w:lineRule="auto"/>
              <w:ind w:firstLine="284"/>
              <w:jc w:val="both"/>
              <w:rPr>
                <w:color w:val="auto"/>
                <w:sz w:val="24"/>
                <w:szCs w:val="24"/>
              </w:rPr>
            </w:pPr>
            <w:r>
              <w:rPr>
                <w:rFonts w:hint="default"/>
                <w:color w:val="auto"/>
                <w:sz w:val="24"/>
                <w:szCs w:val="24"/>
                <w:lang w:val="en-US"/>
              </w:rPr>
              <w:t xml:space="preserve"> </w:t>
            </w:r>
          </w:p>
        </w:tc>
      </w:tr>
      <w:tr w14:paraId="311BE3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3237" w:type="dxa"/>
            <w:gridSpan w:val="8"/>
          </w:tcPr>
          <w:p w14:paraId="6EA73DC3">
            <w:pPr>
              <w:pStyle w:val="3"/>
              <w:ind w:firstLine="284"/>
              <w:rPr>
                <w:color w:val="auto"/>
              </w:rPr>
            </w:pPr>
            <w:r>
              <w:rPr>
                <w:color w:val="auto"/>
                <w:sz w:val="24"/>
                <w:szCs w:val="24"/>
              </w:rPr>
              <w:t>II. LĨNH VỰC BƯU CHÍNH</w:t>
            </w:r>
          </w:p>
        </w:tc>
        <w:tc>
          <w:tcPr>
            <w:tcW w:w="2410" w:type="dxa"/>
          </w:tcPr>
          <w:p w14:paraId="0B809642">
            <w:pPr>
              <w:pStyle w:val="3"/>
              <w:ind w:firstLine="284"/>
              <w:jc w:val="both"/>
              <w:rPr>
                <w:color w:val="auto"/>
                <w:sz w:val="24"/>
                <w:szCs w:val="24"/>
              </w:rPr>
            </w:pPr>
          </w:p>
        </w:tc>
      </w:tr>
      <w:tr w14:paraId="062DC1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6" w:hRule="atLeast"/>
          <w:jc w:val="center"/>
        </w:trPr>
        <w:tc>
          <w:tcPr>
            <w:tcW w:w="704" w:type="dxa"/>
            <w:vMerge w:val="restart"/>
          </w:tcPr>
          <w:p w14:paraId="2E56F7B4">
            <w:pPr>
              <w:numPr>
                <w:ilvl w:val="0"/>
                <w:numId w:val="2"/>
              </w:numPr>
              <w:tabs>
                <w:tab w:val="left" w:pos="425"/>
              </w:tabs>
              <w:ind w:left="501" w:leftChars="0" w:firstLineChars="0"/>
              <w:rPr>
                <w:color w:val="auto"/>
                <w:sz w:val="24"/>
                <w:szCs w:val="24"/>
              </w:rPr>
            </w:pPr>
          </w:p>
        </w:tc>
        <w:tc>
          <w:tcPr>
            <w:tcW w:w="1843" w:type="dxa"/>
            <w:vMerge w:val="restart"/>
          </w:tcPr>
          <w:p w14:paraId="4258DA37">
            <w:pPr>
              <w:jc w:val="both"/>
              <w:rPr>
                <w:color w:val="auto"/>
                <w:sz w:val="24"/>
                <w:szCs w:val="24"/>
              </w:rPr>
            </w:pPr>
            <w:r>
              <w:rPr>
                <w:color w:val="auto"/>
                <w:sz w:val="24"/>
                <w:szCs w:val="24"/>
              </w:rPr>
              <w:t>Luật Bưu chính năm 2010</w:t>
            </w:r>
          </w:p>
          <w:p w14:paraId="3B246E10">
            <w:pPr>
              <w:jc w:val="center"/>
              <w:rPr>
                <w:color w:val="auto"/>
                <w:sz w:val="24"/>
                <w:szCs w:val="24"/>
              </w:rPr>
            </w:pPr>
          </w:p>
        </w:tc>
        <w:tc>
          <w:tcPr>
            <w:tcW w:w="1417" w:type="dxa"/>
          </w:tcPr>
          <w:p w14:paraId="0E6AD95C">
            <w:pPr>
              <w:jc w:val="center"/>
              <w:rPr>
                <w:color w:val="auto"/>
                <w:sz w:val="24"/>
                <w:szCs w:val="24"/>
              </w:rPr>
            </w:pPr>
            <w:r>
              <w:rPr>
                <w:color w:val="auto"/>
                <w:sz w:val="24"/>
                <w:szCs w:val="24"/>
              </w:rPr>
              <w:t>Tình hình thực tiễn</w:t>
            </w:r>
          </w:p>
        </w:tc>
        <w:tc>
          <w:tcPr>
            <w:tcW w:w="4051" w:type="dxa"/>
          </w:tcPr>
          <w:p w14:paraId="1952DDCA">
            <w:pPr>
              <w:tabs>
                <w:tab w:val="right" w:pos="8640"/>
              </w:tabs>
              <w:ind w:right="-49"/>
              <w:jc w:val="both"/>
              <w:rPr>
                <w:color w:val="auto"/>
                <w:sz w:val="24"/>
                <w:szCs w:val="24"/>
              </w:rPr>
            </w:pPr>
            <w:r>
              <w:rPr>
                <w:color w:val="auto"/>
                <w:sz w:val="24"/>
                <w:szCs w:val="24"/>
              </w:rPr>
              <w:t>Điều 24 Luật Bưu chính năm 2010 quy định về “Thu hồi giấy phép bưu chính”, tuy nhiên hiện nay chưa có quy định về quy trình, trình tự thu hồi Giấy phép bưu chính, cần bổ sung</w:t>
            </w:r>
          </w:p>
        </w:tc>
        <w:tc>
          <w:tcPr>
            <w:tcW w:w="1394" w:type="dxa"/>
            <w:vMerge w:val="restart"/>
          </w:tcPr>
          <w:p w14:paraId="2A139BCC">
            <w:pPr>
              <w:tabs>
                <w:tab w:val="right" w:pos="8640"/>
              </w:tabs>
              <w:ind w:right="-49"/>
              <w:jc w:val="both"/>
              <w:rPr>
                <w:color w:val="auto"/>
                <w:sz w:val="24"/>
                <w:szCs w:val="24"/>
              </w:rPr>
            </w:pPr>
            <w:r>
              <w:rPr>
                <w:rFonts w:hint="default"/>
                <w:color w:val="auto"/>
                <w:sz w:val="24"/>
                <w:szCs w:val="24"/>
                <w:lang w:val="en-US"/>
              </w:rPr>
              <w:t>S</w:t>
            </w:r>
            <w:r>
              <w:rPr>
                <w:color w:val="auto"/>
                <w:sz w:val="24"/>
                <w:szCs w:val="24"/>
              </w:rPr>
              <w:t>ửa đổi, bổ sung</w:t>
            </w:r>
          </w:p>
          <w:p w14:paraId="1D9E2AEE">
            <w:pPr>
              <w:jc w:val="center"/>
              <w:rPr>
                <w:color w:val="auto"/>
                <w:sz w:val="24"/>
                <w:szCs w:val="24"/>
              </w:rPr>
            </w:pPr>
          </w:p>
        </w:tc>
        <w:tc>
          <w:tcPr>
            <w:tcW w:w="1275" w:type="dxa"/>
            <w:vMerge w:val="restart"/>
          </w:tcPr>
          <w:p w14:paraId="089D8F03">
            <w:pPr>
              <w:jc w:val="center"/>
              <w:rPr>
                <w:color w:val="auto"/>
                <w:sz w:val="24"/>
                <w:szCs w:val="24"/>
              </w:rPr>
            </w:pPr>
            <w:r>
              <w:rPr>
                <w:rFonts w:hint="default"/>
                <w:color w:val="auto"/>
                <w:sz w:val="24"/>
                <w:szCs w:val="24"/>
                <w:lang w:val="en-US"/>
              </w:rPr>
              <w:t>Tháng 12/</w:t>
            </w:r>
            <w:r>
              <w:rPr>
                <w:color w:val="auto"/>
                <w:sz w:val="24"/>
                <w:szCs w:val="24"/>
              </w:rPr>
              <w:t>2026</w:t>
            </w:r>
          </w:p>
        </w:tc>
        <w:tc>
          <w:tcPr>
            <w:tcW w:w="1245" w:type="dxa"/>
            <w:vMerge w:val="restart"/>
          </w:tcPr>
          <w:p w14:paraId="33F03D27">
            <w:pPr>
              <w:jc w:val="center"/>
              <w:rPr>
                <w:color w:val="auto"/>
                <w:sz w:val="24"/>
                <w:szCs w:val="24"/>
              </w:rPr>
            </w:pPr>
            <w:r>
              <w:rPr>
                <w:color w:val="auto"/>
                <w:sz w:val="24"/>
                <w:szCs w:val="24"/>
              </w:rPr>
              <w:t>Tiêu chí 5</w:t>
            </w:r>
          </w:p>
        </w:tc>
        <w:tc>
          <w:tcPr>
            <w:tcW w:w="1308" w:type="dxa"/>
            <w:vMerge w:val="restart"/>
          </w:tcPr>
          <w:p w14:paraId="32677038">
            <w:pPr>
              <w:jc w:val="center"/>
              <w:rPr>
                <w:color w:val="auto"/>
                <w:sz w:val="24"/>
                <w:szCs w:val="24"/>
              </w:rPr>
            </w:pPr>
            <w:r>
              <w:rPr>
                <w:color w:val="auto"/>
                <w:sz w:val="24"/>
                <w:szCs w:val="24"/>
                <w:lang w:val="en-US"/>
              </w:rPr>
              <w:t xml:space="preserve"> </w:t>
            </w:r>
          </w:p>
        </w:tc>
        <w:tc>
          <w:tcPr>
            <w:tcW w:w="2410" w:type="dxa"/>
            <w:vMerge w:val="restart"/>
          </w:tcPr>
          <w:p w14:paraId="67F230B5">
            <w:pPr>
              <w:ind w:firstLine="284"/>
              <w:jc w:val="both"/>
              <w:rPr>
                <w:color w:val="auto"/>
                <w:sz w:val="24"/>
                <w:szCs w:val="24"/>
                <w:lang w:val="en-US"/>
              </w:rPr>
            </w:pPr>
            <w:r>
              <w:rPr>
                <w:color w:val="auto"/>
                <w:sz w:val="24"/>
                <w:szCs w:val="24"/>
              </w:rPr>
              <w:t xml:space="preserve">Cần làm rõ, </w:t>
            </w:r>
            <w:r>
              <w:rPr>
                <w:color w:val="auto"/>
                <w:sz w:val="24"/>
                <w:szCs w:val="24"/>
                <w:lang w:val="vi-VN"/>
              </w:rPr>
              <w:t xml:space="preserve">xác định lại hình thức xử lý văn bản (hiện nay Bộ KHCN đang xây dựng dự thảo Luật </w:t>
            </w:r>
            <w:r>
              <w:rPr>
                <w:color w:val="auto"/>
                <w:sz w:val="24"/>
                <w:szCs w:val="24"/>
                <w:lang w:val="en-US"/>
              </w:rPr>
              <w:t xml:space="preserve">Bưu chính sửa đổi </w:t>
            </w:r>
            <w:r>
              <w:rPr>
                <w:color w:val="auto"/>
                <w:sz w:val="24"/>
                <w:szCs w:val="24"/>
                <w:lang w:val="vi-VN"/>
              </w:rPr>
              <w:t>thay thế</w:t>
            </w:r>
            <w:r>
              <w:rPr>
                <w:color w:val="auto"/>
                <w:sz w:val="24"/>
                <w:szCs w:val="24"/>
                <w:lang w:val="en-US"/>
              </w:rPr>
              <w:t xml:space="preserve"> </w:t>
            </w:r>
            <w:r>
              <w:rPr>
                <w:color w:val="auto"/>
                <w:sz w:val="24"/>
                <w:szCs w:val="24"/>
              </w:rPr>
              <w:t>Luật Bưu chính năm 2010</w:t>
            </w:r>
            <w:r>
              <w:rPr>
                <w:color w:val="auto"/>
                <w:sz w:val="24"/>
                <w:szCs w:val="24"/>
                <w:lang w:val="vi-VN"/>
              </w:rPr>
              <w:t>)</w:t>
            </w:r>
            <w:r>
              <w:rPr>
                <w:color w:val="auto"/>
                <w:sz w:val="24"/>
                <w:szCs w:val="24"/>
                <w:lang w:val="en-US"/>
              </w:rPr>
              <w:t>.</w:t>
            </w:r>
          </w:p>
          <w:p w14:paraId="44C88540">
            <w:pPr>
              <w:widowControl w:val="0"/>
              <w:spacing w:line="276" w:lineRule="auto"/>
              <w:ind w:firstLine="284"/>
              <w:jc w:val="both"/>
              <w:rPr>
                <w:color w:val="auto"/>
                <w:sz w:val="24"/>
                <w:szCs w:val="24"/>
                <w:lang w:val="vi-VN"/>
              </w:rPr>
            </w:pPr>
          </w:p>
          <w:p w14:paraId="414E8823">
            <w:pPr>
              <w:widowControl w:val="0"/>
              <w:spacing w:line="276" w:lineRule="auto"/>
              <w:ind w:firstLine="284"/>
              <w:jc w:val="both"/>
              <w:rPr>
                <w:color w:val="auto"/>
                <w:sz w:val="24"/>
                <w:szCs w:val="24"/>
                <w:lang w:val="vi-VN"/>
              </w:rPr>
            </w:pPr>
          </w:p>
        </w:tc>
      </w:tr>
      <w:tr w14:paraId="52BD3D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4" w:hRule="atLeast"/>
          <w:jc w:val="center"/>
        </w:trPr>
        <w:tc>
          <w:tcPr>
            <w:tcW w:w="704" w:type="dxa"/>
            <w:vMerge w:val="continue"/>
          </w:tcPr>
          <w:p w14:paraId="3C599D1C">
            <w:pPr>
              <w:widowControl w:val="0"/>
              <w:spacing w:line="276" w:lineRule="auto"/>
              <w:rPr>
                <w:color w:val="auto"/>
                <w:sz w:val="24"/>
                <w:szCs w:val="24"/>
              </w:rPr>
            </w:pPr>
          </w:p>
        </w:tc>
        <w:tc>
          <w:tcPr>
            <w:tcW w:w="1843" w:type="dxa"/>
            <w:vMerge w:val="continue"/>
          </w:tcPr>
          <w:p w14:paraId="23C69F6D">
            <w:pPr>
              <w:widowControl w:val="0"/>
              <w:spacing w:line="276" w:lineRule="auto"/>
              <w:rPr>
                <w:color w:val="auto"/>
                <w:sz w:val="24"/>
                <w:szCs w:val="24"/>
              </w:rPr>
            </w:pPr>
          </w:p>
        </w:tc>
        <w:tc>
          <w:tcPr>
            <w:tcW w:w="1417" w:type="dxa"/>
          </w:tcPr>
          <w:p w14:paraId="001583D1">
            <w:pPr>
              <w:jc w:val="center"/>
              <w:rPr>
                <w:color w:val="auto"/>
                <w:sz w:val="24"/>
                <w:szCs w:val="24"/>
              </w:rPr>
            </w:pPr>
            <w:r>
              <w:rPr>
                <w:color w:val="auto"/>
                <w:sz w:val="24"/>
                <w:szCs w:val="24"/>
              </w:rPr>
              <w:t>Tình hình thực tiễn</w:t>
            </w:r>
          </w:p>
        </w:tc>
        <w:tc>
          <w:tcPr>
            <w:tcW w:w="4051" w:type="dxa"/>
          </w:tcPr>
          <w:p w14:paraId="1B34875D">
            <w:pPr>
              <w:jc w:val="both"/>
              <w:rPr>
                <w:color w:val="auto"/>
                <w:sz w:val="24"/>
                <w:szCs w:val="24"/>
              </w:rPr>
            </w:pPr>
            <w:r>
              <w:rPr>
                <w:color w:val="auto"/>
                <w:sz w:val="24"/>
                <w:szCs w:val="24"/>
              </w:rPr>
              <w:t>Khoản 1 Điều 26 Luật Bưu chính năm 2010 quy định về trường hợp không cần giấy phép bưu chính, không cần thông báo hoạt động chưa có văn bản quy định cụ thể về số lượng bưu gửi tối đa theo quy định của cơ quan nhà nước có thẩm quyền về bưu chính. Tuy nhiên, chưa có quy định về số lượng bưu gửi tối đa theo quy định của cơ quan nhà nước có thẩm quyền về bưu chính dẫn đến khó khăn khi xác định các trường hợp không cần giấy phép bưu chính, không cần thông báo hoạt động, ảnh hưởng đến công tác quản lý của cơ quan nhà nước có thẩm quyền cũng như việc thực hiện quyền, nghĩa vụ của các cá nhân nhận, vận chuyển và phát thư, gói, kiện hàng hoá</w:t>
            </w:r>
          </w:p>
        </w:tc>
        <w:tc>
          <w:tcPr>
            <w:tcW w:w="1394" w:type="dxa"/>
            <w:vMerge w:val="continue"/>
          </w:tcPr>
          <w:p w14:paraId="6BFCF6CC">
            <w:pPr>
              <w:widowControl w:val="0"/>
              <w:spacing w:line="276" w:lineRule="auto"/>
              <w:rPr>
                <w:color w:val="auto"/>
                <w:sz w:val="24"/>
                <w:szCs w:val="24"/>
              </w:rPr>
            </w:pPr>
          </w:p>
        </w:tc>
        <w:tc>
          <w:tcPr>
            <w:tcW w:w="1275" w:type="dxa"/>
            <w:vMerge w:val="continue"/>
          </w:tcPr>
          <w:p w14:paraId="185331AD">
            <w:pPr>
              <w:widowControl w:val="0"/>
              <w:spacing w:line="276" w:lineRule="auto"/>
              <w:rPr>
                <w:color w:val="auto"/>
                <w:sz w:val="24"/>
                <w:szCs w:val="24"/>
              </w:rPr>
            </w:pPr>
          </w:p>
        </w:tc>
        <w:tc>
          <w:tcPr>
            <w:tcW w:w="1245" w:type="dxa"/>
            <w:vMerge w:val="continue"/>
          </w:tcPr>
          <w:p w14:paraId="68D808CD">
            <w:pPr>
              <w:widowControl w:val="0"/>
              <w:spacing w:line="276" w:lineRule="auto"/>
              <w:rPr>
                <w:color w:val="auto"/>
                <w:sz w:val="24"/>
                <w:szCs w:val="24"/>
              </w:rPr>
            </w:pPr>
          </w:p>
        </w:tc>
        <w:tc>
          <w:tcPr>
            <w:tcW w:w="1308" w:type="dxa"/>
            <w:vMerge w:val="continue"/>
          </w:tcPr>
          <w:p w14:paraId="113370DE">
            <w:pPr>
              <w:widowControl w:val="0"/>
              <w:spacing w:line="276" w:lineRule="auto"/>
              <w:rPr>
                <w:color w:val="auto"/>
                <w:sz w:val="24"/>
                <w:szCs w:val="24"/>
              </w:rPr>
            </w:pPr>
          </w:p>
        </w:tc>
        <w:tc>
          <w:tcPr>
            <w:tcW w:w="2410" w:type="dxa"/>
            <w:vMerge w:val="continue"/>
          </w:tcPr>
          <w:p w14:paraId="25970812">
            <w:pPr>
              <w:widowControl w:val="0"/>
              <w:spacing w:line="276" w:lineRule="auto"/>
              <w:ind w:firstLine="284"/>
              <w:jc w:val="both"/>
              <w:rPr>
                <w:color w:val="auto"/>
                <w:sz w:val="24"/>
                <w:szCs w:val="24"/>
                <w:lang w:val="vi-VN"/>
              </w:rPr>
            </w:pPr>
          </w:p>
        </w:tc>
      </w:tr>
      <w:tr w14:paraId="3A2356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73" w:hRule="atLeast"/>
          <w:jc w:val="center"/>
        </w:trPr>
        <w:tc>
          <w:tcPr>
            <w:tcW w:w="704" w:type="dxa"/>
            <w:vMerge w:val="continue"/>
          </w:tcPr>
          <w:p w14:paraId="68DFC7D9">
            <w:pPr>
              <w:widowControl w:val="0"/>
              <w:spacing w:line="276" w:lineRule="auto"/>
              <w:rPr>
                <w:color w:val="auto"/>
                <w:sz w:val="24"/>
                <w:szCs w:val="24"/>
              </w:rPr>
            </w:pPr>
          </w:p>
        </w:tc>
        <w:tc>
          <w:tcPr>
            <w:tcW w:w="1843" w:type="dxa"/>
            <w:vMerge w:val="continue"/>
          </w:tcPr>
          <w:p w14:paraId="4511DDEA">
            <w:pPr>
              <w:widowControl w:val="0"/>
              <w:spacing w:line="276" w:lineRule="auto"/>
              <w:rPr>
                <w:color w:val="auto"/>
                <w:sz w:val="24"/>
                <w:szCs w:val="24"/>
              </w:rPr>
            </w:pPr>
          </w:p>
        </w:tc>
        <w:tc>
          <w:tcPr>
            <w:tcW w:w="1417" w:type="dxa"/>
          </w:tcPr>
          <w:p w14:paraId="669AF22A">
            <w:pPr>
              <w:jc w:val="center"/>
              <w:rPr>
                <w:color w:val="auto"/>
                <w:sz w:val="24"/>
                <w:szCs w:val="24"/>
              </w:rPr>
            </w:pPr>
          </w:p>
        </w:tc>
        <w:tc>
          <w:tcPr>
            <w:tcW w:w="4051" w:type="dxa"/>
          </w:tcPr>
          <w:p w14:paraId="6071B635">
            <w:pPr>
              <w:tabs>
                <w:tab w:val="right" w:pos="8640"/>
              </w:tabs>
              <w:ind w:right="-49"/>
              <w:jc w:val="both"/>
              <w:rPr>
                <w:color w:val="auto"/>
                <w:sz w:val="24"/>
                <w:szCs w:val="24"/>
              </w:rPr>
            </w:pPr>
            <w:r>
              <w:rPr>
                <w:color w:val="auto"/>
                <w:sz w:val="24"/>
                <w:szCs w:val="24"/>
              </w:rPr>
              <w:t>Bãi bỏ toàn bộ điều kiện: Có nhân sự phù hợp với phương án kinh doanh theo nội dung đề nghị được cấp giấy phép Điểm b khoản 2 Điều 21</w:t>
            </w:r>
          </w:p>
          <w:p w14:paraId="30C46071">
            <w:pPr>
              <w:jc w:val="both"/>
              <w:rPr>
                <w:color w:val="auto"/>
                <w:sz w:val="24"/>
                <w:szCs w:val="24"/>
              </w:rPr>
            </w:pPr>
            <w:r>
              <w:rPr>
                <w:color w:val="auto"/>
                <w:sz w:val="24"/>
                <w:szCs w:val="24"/>
              </w:rPr>
              <w:t>- Do sự phát triển, của thương mại điện tử, trong đó giao hàng chặng cuối đang giao thoa giữa dịch vụ bưu chính và giao thông vận tải, kho bãi... Việc có giao thoa giữa dịch vụ bưu chính, Giao thông vận tải, kho bãi…dẫn đến khó khăn trong công tác quản lý nhà nước. Vì vậy, phân định rõ ràng đối với hoạt động bưu chính và hoạt động vận tải để có giải pháp quản lý phù hợp với tình hình thực tế hiện nay</w:t>
            </w:r>
          </w:p>
        </w:tc>
        <w:tc>
          <w:tcPr>
            <w:tcW w:w="1394" w:type="dxa"/>
            <w:vMerge w:val="continue"/>
          </w:tcPr>
          <w:p w14:paraId="7A69312B">
            <w:pPr>
              <w:widowControl w:val="0"/>
              <w:spacing w:line="276" w:lineRule="auto"/>
              <w:rPr>
                <w:color w:val="auto"/>
                <w:sz w:val="24"/>
                <w:szCs w:val="24"/>
              </w:rPr>
            </w:pPr>
          </w:p>
        </w:tc>
        <w:tc>
          <w:tcPr>
            <w:tcW w:w="1275" w:type="dxa"/>
            <w:vMerge w:val="continue"/>
          </w:tcPr>
          <w:p w14:paraId="17A5B8EA">
            <w:pPr>
              <w:widowControl w:val="0"/>
              <w:spacing w:line="276" w:lineRule="auto"/>
              <w:rPr>
                <w:color w:val="auto"/>
                <w:sz w:val="24"/>
                <w:szCs w:val="24"/>
              </w:rPr>
            </w:pPr>
          </w:p>
        </w:tc>
        <w:tc>
          <w:tcPr>
            <w:tcW w:w="1245" w:type="dxa"/>
            <w:vMerge w:val="continue"/>
          </w:tcPr>
          <w:p w14:paraId="34BA27A9">
            <w:pPr>
              <w:widowControl w:val="0"/>
              <w:spacing w:line="276" w:lineRule="auto"/>
              <w:rPr>
                <w:color w:val="auto"/>
                <w:sz w:val="24"/>
                <w:szCs w:val="24"/>
              </w:rPr>
            </w:pPr>
          </w:p>
        </w:tc>
        <w:tc>
          <w:tcPr>
            <w:tcW w:w="1308" w:type="dxa"/>
            <w:vMerge w:val="continue"/>
          </w:tcPr>
          <w:p w14:paraId="075604B3">
            <w:pPr>
              <w:widowControl w:val="0"/>
              <w:spacing w:line="276" w:lineRule="auto"/>
              <w:rPr>
                <w:color w:val="auto"/>
                <w:sz w:val="24"/>
                <w:szCs w:val="24"/>
              </w:rPr>
            </w:pPr>
          </w:p>
        </w:tc>
        <w:tc>
          <w:tcPr>
            <w:tcW w:w="2410" w:type="dxa"/>
            <w:vMerge w:val="continue"/>
          </w:tcPr>
          <w:p w14:paraId="56BDE9CD">
            <w:pPr>
              <w:widowControl w:val="0"/>
              <w:spacing w:line="276" w:lineRule="auto"/>
              <w:ind w:firstLine="284"/>
              <w:jc w:val="both"/>
              <w:rPr>
                <w:color w:val="auto"/>
                <w:sz w:val="24"/>
                <w:szCs w:val="24"/>
                <w:lang w:val="vi-VN"/>
              </w:rPr>
            </w:pPr>
          </w:p>
        </w:tc>
      </w:tr>
      <w:tr w14:paraId="540351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04" w:type="dxa"/>
          </w:tcPr>
          <w:p w14:paraId="45F1EA7B">
            <w:pPr>
              <w:numPr>
                <w:ilvl w:val="0"/>
                <w:numId w:val="2"/>
              </w:numPr>
              <w:tabs>
                <w:tab w:val="left" w:pos="425"/>
              </w:tabs>
              <w:ind w:left="501" w:leftChars="0" w:firstLineChars="0"/>
              <w:rPr>
                <w:color w:val="auto"/>
                <w:sz w:val="24"/>
                <w:szCs w:val="24"/>
              </w:rPr>
            </w:pPr>
          </w:p>
        </w:tc>
        <w:tc>
          <w:tcPr>
            <w:tcW w:w="1843" w:type="dxa"/>
          </w:tcPr>
          <w:p w14:paraId="6ACFB9CD">
            <w:pPr>
              <w:rPr>
                <w:color w:val="auto"/>
                <w:sz w:val="24"/>
                <w:szCs w:val="24"/>
              </w:rPr>
            </w:pPr>
            <w:r>
              <w:rPr>
                <w:color w:val="auto"/>
                <w:sz w:val="24"/>
                <w:szCs w:val="24"/>
              </w:rPr>
              <w:t>Thông tư số 28/2015/TT-BTTTT ngày 02/10/2015 Quy định danh mục vùng có điều kiện địa lý đặc biệt áp dụng tần suất thu gom và phát đặc thù trong cung ứng dịch vụ bưu chính công ích</w:t>
            </w:r>
          </w:p>
        </w:tc>
        <w:tc>
          <w:tcPr>
            <w:tcW w:w="1417" w:type="dxa"/>
          </w:tcPr>
          <w:p w14:paraId="683FC001">
            <w:pPr>
              <w:rPr>
                <w:color w:val="auto"/>
                <w:sz w:val="24"/>
                <w:szCs w:val="24"/>
              </w:rPr>
            </w:pPr>
            <w:r>
              <w:rPr>
                <w:color w:val="auto"/>
                <w:sz w:val="24"/>
                <w:szCs w:val="24"/>
              </w:rPr>
              <w:t>Tình hình thực tiễn, Luật Tổ chức chính quyền địa phương số 72/2025/QH15</w:t>
            </w:r>
          </w:p>
        </w:tc>
        <w:tc>
          <w:tcPr>
            <w:tcW w:w="4051" w:type="dxa"/>
          </w:tcPr>
          <w:p w14:paraId="2265EEA1">
            <w:pPr>
              <w:jc w:val="both"/>
              <w:rPr>
                <w:color w:val="auto"/>
                <w:sz w:val="24"/>
                <w:szCs w:val="24"/>
              </w:rPr>
            </w:pPr>
            <w:r>
              <w:rPr>
                <w:color w:val="auto"/>
                <w:sz w:val="24"/>
                <w:szCs w:val="24"/>
              </w:rPr>
              <w:t>- Điều 1 Thông tư này quy định: Điều 1. Thông tư này quy định các danh mục vùng có điều kiện địa lý đặc biệt áp dụng tần suất thu gom và phát đặc thù trong cung ứng dịch vụ bưu chính công ích, bao gồm:</w:t>
            </w:r>
            <w:r>
              <w:rPr>
                <w:color w:val="auto"/>
                <w:sz w:val="24"/>
                <w:szCs w:val="24"/>
              </w:rPr>
              <w:br w:type="textWrapping"/>
            </w:r>
            <w:r>
              <w:rPr>
                <w:color w:val="auto"/>
                <w:sz w:val="24"/>
                <w:szCs w:val="24"/>
              </w:rPr>
              <w:t>1. Danh mục A: Vùng có điều kiện địa lý đặc biệt áp dụng tần suất thu gom và phát tối thiểu 1-3 lần/tuần;</w:t>
            </w:r>
            <w:r>
              <w:rPr>
                <w:color w:val="auto"/>
                <w:sz w:val="24"/>
                <w:szCs w:val="24"/>
              </w:rPr>
              <w:br w:type="textWrapping"/>
            </w:r>
            <w:r>
              <w:rPr>
                <w:color w:val="auto"/>
                <w:sz w:val="24"/>
                <w:szCs w:val="24"/>
              </w:rPr>
              <w:t>2. Danh mục B: Vùng có điều kiện địa lý đặc biệt áp dụng tần suất thu gom và phát theo tình hình thực tế.</w:t>
            </w:r>
            <w:r>
              <w:rPr>
                <w:color w:val="auto"/>
                <w:sz w:val="24"/>
                <w:szCs w:val="24"/>
              </w:rPr>
              <w:br w:type="textWrapping"/>
            </w:r>
            <w:r>
              <w:rPr>
                <w:color w:val="auto"/>
                <w:sz w:val="24"/>
                <w:szCs w:val="24"/>
              </w:rPr>
              <w:t>- Luật số 72/2025/QH15 Tổ chức chính quyền địa phương quy định đơn vị hành chính được tổ chức thành 02 cấp, gồm có: cấp tỉnh và cấp xã, dẫn đến tác động, ảnh hưởng đến việc xác định địa bàn trước đây thuộc đơn vị hành chính cấp huyện.</w:t>
            </w:r>
          </w:p>
        </w:tc>
        <w:tc>
          <w:tcPr>
            <w:tcW w:w="1394" w:type="dxa"/>
          </w:tcPr>
          <w:p w14:paraId="53725E23">
            <w:pPr>
              <w:jc w:val="both"/>
              <w:rPr>
                <w:color w:val="auto"/>
                <w:sz w:val="24"/>
                <w:szCs w:val="24"/>
              </w:rPr>
            </w:pPr>
            <w:r>
              <w:rPr>
                <w:color w:val="auto"/>
                <w:sz w:val="24"/>
                <w:szCs w:val="24"/>
              </w:rPr>
              <w:t>Sửa đổi, bổ sung</w:t>
            </w:r>
          </w:p>
        </w:tc>
        <w:tc>
          <w:tcPr>
            <w:tcW w:w="1275" w:type="dxa"/>
          </w:tcPr>
          <w:p w14:paraId="32FE5DD8">
            <w:pPr>
              <w:jc w:val="center"/>
              <w:rPr>
                <w:color w:val="auto"/>
                <w:sz w:val="24"/>
                <w:szCs w:val="24"/>
              </w:rPr>
            </w:pPr>
            <w:r>
              <w:rPr>
                <w:rFonts w:hint="default"/>
                <w:color w:val="auto"/>
                <w:sz w:val="24"/>
                <w:szCs w:val="24"/>
                <w:lang w:val="en-US"/>
              </w:rPr>
              <w:t>Tháng 12/</w:t>
            </w:r>
            <w:r>
              <w:rPr>
                <w:color w:val="auto"/>
                <w:sz w:val="24"/>
                <w:szCs w:val="24"/>
              </w:rPr>
              <w:t>2027</w:t>
            </w:r>
          </w:p>
        </w:tc>
        <w:tc>
          <w:tcPr>
            <w:tcW w:w="1245" w:type="dxa"/>
          </w:tcPr>
          <w:p w14:paraId="625B2653">
            <w:pPr>
              <w:jc w:val="center"/>
              <w:rPr>
                <w:rFonts w:hint="default"/>
                <w:color w:val="auto"/>
                <w:sz w:val="24"/>
                <w:szCs w:val="24"/>
                <w:lang w:val="en-US"/>
              </w:rPr>
            </w:pPr>
            <w:r>
              <w:rPr>
                <w:color w:val="auto"/>
                <w:sz w:val="24"/>
                <w:szCs w:val="24"/>
              </w:rPr>
              <w:t>Tiêu chí</w:t>
            </w:r>
            <w:r>
              <w:rPr>
                <w:rFonts w:hint="default"/>
                <w:color w:val="auto"/>
                <w:sz w:val="24"/>
                <w:szCs w:val="24"/>
                <w:lang w:val="en-US"/>
              </w:rPr>
              <w:t xml:space="preserve"> 5</w:t>
            </w:r>
          </w:p>
        </w:tc>
        <w:tc>
          <w:tcPr>
            <w:tcW w:w="1308" w:type="dxa"/>
          </w:tcPr>
          <w:p w14:paraId="4353FE0D">
            <w:pPr>
              <w:jc w:val="center"/>
              <w:rPr>
                <w:color w:val="auto"/>
                <w:sz w:val="24"/>
                <w:szCs w:val="24"/>
              </w:rPr>
            </w:pPr>
            <w:r>
              <w:rPr>
                <w:color w:val="auto"/>
                <w:sz w:val="24"/>
                <w:szCs w:val="24"/>
                <w:lang w:val="en-US"/>
              </w:rPr>
              <w:t xml:space="preserve"> </w:t>
            </w:r>
          </w:p>
        </w:tc>
        <w:tc>
          <w:tcPr>
            <w:tcW w:w="2410" w:type="dxa"/>
          </w:tcPr>
          <w:p w14:paraId="1059777D">
            <w:pPr>
              <w:ind w:firstLine="284"/>
              <w:jc w:val="both"/>
              <w:rPr>
                <w:color w:val="auto"/>
                <w:sz w:val="24"/>
                <w:szCs w:val="24"/>
              </w:rPr>
            </w:pPr>
            <w:r>
              <w:rPr>
                <w:color w:val="auto"/>
                <w:sz w:val="24"/>
                <w:szCs w:val="24"/>
              </w:rPr>
              <w:t>- Đề nghị chỉnh lý tên văn bản làm căn cứ rà soát cho đầy đủ.</w:t>
            </w:r>
          </w:p>
          <w:p w14:paraId="0E1583CB">
            <w:pPr>
              <w:ind w:firstLine="284"/>
              <w:jc w:val="both"/>
              <w:rPr>
                <w:color w:val="auto"/>
                <w:sz w:val="24"/>
                <w:szCs w:val="24"/>
              </w:rPr>
            </w:pPr>
            <w:r>
              <w:rPr>
                <w:color w:val="auto"/>
                <w:sz w:val="24"/>
                <w:szCs w:val="24"/>
              </w:rPr>
              <w:t>- Cần làm rõ, hoàn thiện thêm để xác định chính xác Tiêu chí rà soát, đề nghị cân nhắc xếp vào Tiêu chí 5.</w:t>
            </w:r>
          </w:p>
          <w:p w14:paraId="5940BBB0">
            <w:pPr>
              <w:ind w:firstLine="284"/>
              <w:jc w:val="both"/>
              <w:rPr>
                <w:color w:val="auto"/>
                <w:sz w:val="24"/>
                <w:szCs w:val="24"/>
              </w:rPr>
            </w:pPr>
            <w:r>
              <w:rPr>
                <w:color w:val="auto"/>
                <w:sz w:val="24"/>
                <w:szCs w:val="24"/>
              </w:rPr>
              <w:t>- Bổ sung căn cứ rà soát là Luật Tổ chức chính quyền địa phương số 72/2025/QH15.</w:t>
            </w:r>
          </w:p>
          <w:p w14:paraId="08A4C3F9">
            <w:pPr>
              <w:ind w:firstLine="284"/>
              <w:jc w:val="both"/>
              <w:rPr>
                <w:color w:val="auto"/>
                <w:sz w:val="24"/>
                <w:szCs w:val="24"/>
              </w:rPr>
            </w:pPr>
            <w:r>
              <w:rPr>
                <w:color w:val="auto"/>
                <w:sz w:val="24"/>
                <w:szCs w:val="24"/>
              </w:rPr>
              <w:t>- Bỏ căn cứ rà soát là Nghị quyết 190/2025/NQ-QH15 ngày 19/02/2025.</w:t>
            </w:r>
          </w:p>
          <w:p w14:paraId="4FA7B6C7">
            <w:pPr>
              <w:ind w:firstLine="284"/>
              <w:jc w:val="both"/>
              <w:rPr>
                <w:color w:val="auto"/>
                <w:sz w:val="24"/>
                <w:szCs w:val="24"/>
              </w:rPr>
            </w:pPr>
          </w:p>
          <w:p w14:paraId="0BB1FFE8">
            <w:pPr>
              <w:ind w:firstLine="284"/>
              <w:jc w:val="both"/>
              <w:rPr>
                <w:color w:val="auto"/>
                <w:sz w:val="24"/>
                <w:szCs w:val="24"/>
              </w:rPr>
            </w:pPr>
          </w:p>
        </w:tc>
      </w:tr>
      <w:tr w14:paraId="1800E1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04" w:type="dxa"/>
          </w:tcPr>
          <w:p w14:paraId="0C0021AE">
            <w:pPr>
              <w:numPr>
                <w:ilvl w:val="0"/>
                <w:numId w:val="2"/>
              </w:numPr>
              <w:tabs>
                <w:tab w:val="left" w:pos="425"/>
              </w:tabs>
              <w:ind w:left="501" w:leftChars="0" w:firstLineChars="0"/>
              <w:rPr>
                <w:color w:val="auto"/>
                <w:sz w:val="24"/>
                <w:szCs w:val="24"/>
              </w:rPr>
            </w:pPr>
          </w:p>
        </w:tc>
        <w:tc>
          <w:tcPr>
            <w:tcW w:w="1843" w:type="dxa"/>
          </w:tcPr>
          <w:p w14:paraId="5FD26C8D">
            <w:pPr>
              <w:jc w:val="both"/>
              <w:rPr>
                <w:color w:val="auto"/>
                <w:sz w:val="24"/>
                <w:szCs w:val="24"/>
              </w:rPr>
            </w:pPr>
            <w:r>
              <w:rPr>
                <w:color w:val="auto"/>
                <w:sz w:val="24"/>
                <w:szCs w:val="24"/>
              </w:rPr>
              <w:t>TT 23/2016/TT-BTTTT ngày 2/11/2016 điều tra sản lượng và giá cước bình quân đối với dịch vụ bưu chính công ích và dịch vụ công ích trong hoạt động phát hành báo chí</w:t>
            </w:r>
          </w:p>
        </w:tc>
        <w:tc>
          <w:tcPr>
            <w:tcW w:w="1417" w:type="dxa"/>
          </w:tcPr>
          <w:p w14:paraId="73CC71A1">
            <w:pPr>
              <w:jc w:val="both"/>
              <w:rPr>
                <w:rFonts w:hint="default"/>
                <w:color w:val="auto"/>
                <w:sz w:val="24"/>
                <w:szCs w:val="24"/>
                <w:lang w:val="en-US"/>
              </w:rPr>
            </w:pPr>
            <w:r>
              <w:rPr>
                <w:color w:val="auto"/>
                <w:sz w:val="24"/>
                <w:szCs w:val="24"/>
              </w:rPr>
              <w:t>Tình hình thực tiễn</w:t>
            </w:r>
            <w:r>
              <w:rPr>
                <w:rFonts w:hint="default"/>
                <w:color w:val="auto"/>
                <w:sz w:val="24"/>
                <w:szCs w:val="24"/>
                <w:lang w:val="en-US"/>
              </w:rPr>
              <w:t xml:space="preserve">, </w:t>
            </w:r>
            <w:r>
              <w:rPr>
                <w:color w:val="auto"/>
                <w:sz w:val="24"/>
                <w:szCs w:val="24"/>
              </w:rPr>
              <w:t>Luật Tổ chức chính quyền địa phương số 72/2025/QH15</w:t>
            </w:r>
          </w:p>
        </w:tc>
        <w:tc>
          <w:tcPr>
            <w:tcW w:w="4051" w:type="dxa"/>
          </w:tcPr>
          <w:p w14:paraId="2BC9358E">
            <w:pPr>
              <w:jc w:val="both"/>
              <w:rPr>
                <w:color w:val="auto"/>
                <w:sz w:val="24"/>
                <w:szCs w:val="24"/>
              </w:rPr>
            </w:pPr>
            <w:r>
              <w:rPr>
                <w:color w:val="auto"/>
                <w:sz w:val="24"/>
                <w:szCs w:val="24"/>
              </w:rPr>
              <w:t xml:space="preserve"> - Khoản 2 Điều 7, Điều 9 và các điều khoản liên quan khác</w:t>
            </w:r>
            <w:r>
              <w:rPr>
                <w:color w:val="auto"/>
                <w:sz w:val="24"/>
                <w:szCs w:val="24"/>
              </w:rPr>
              <w:br w:type="textWrapping"/>
            </w:r>
            <w:r>
              <w:rPr>
                <w:color w:val="auto"/>
                <w:sz w:val="24"/>
                <w:szCs w:val="24"/>
              </w:rPr>
              <w:t>- Luật số 72/2025/QH15 Tổ chức chính quyền địa phương quy định đơn vị hành chính được tổ chức thành 02 cấp, gồm có: cấp tỉnh và cấp xã, dẫn đến tác động, ảnh hưởng đến việc xác định địa bàn trước đây thuộc đơn vị hành chính cấp huyện.</w:t>
            </w:r>
          </w:p>
        </w:tc>
        <w:tc>
          <w:tcPr>
            <w:tcW w:w="1394" w:type="dxa"/>
          </w:tcPr>
          <w:p w14:paraId="79095E49">
            <w:pPr>
              <w:jc w:val="both"/>
              <w:rPr>
                <w:color w:val="auto"/>
                <w:sz w:val="24"/>
                <w:szCs w:val="24"/>
              </w:rPr>
            </w:pPr>
            <w:r>
              <w:rPr>
                <w:color w:val="auto"/>
                <w:sz w:val="24"/>
                <w:szCs w:val="24"/>
              </w:rPr>
              <w:t>Sửa đổi, bổ sung</w:t>
            </w:r>
          </w:p>
        </w:tc>
        <w:tc>
          <w:tcPr>
            <w:tcW w:w="1275" w:type="dxa"/>
          </w:tcPr>
          <w:p w14:paraId="6F913920">
            <w:pPr>
              <w:jc w:val="center"/>
              <w:rPr>
                <w:color w:val="auto"/>
                <w:sz w:val="24"/>
                <w:szCs w:val="24"/>
              </w:rPr>
            </w:pPr>
            <w:r>
              <w:rPr>
                <w:rFonts w:hint="default"/>
                <w:color w:val="auto"/>
                <w:sz w:val="24"/>
                <w:szCs w:val="24"/>
                <w:lang w:val="en-US"/>
              </w:rPr>
              <w:t>Tháng 12/</w:t>
            </w:r>
            <w:r>
              <w:rPr>
                <w:color w:val="auto"/>
                <w:sz w:val="24"/>
                <w:szCs w:val="24"/>
              </w:rPr>
              <w:t>2027</w:t>
            </w:r>
          </w:p>
        </w:tc>
        <w:tc>
          <w:tcPr>
            <w:tcW w:w="1245" w:type="dxa"/>
          </w:tcPr>
          <w:p w14:paraId="1EB8CA59">
            <w:pPr>
              <w:jc w:val="center"/>
              <w:rPr>
                <w:rFonts w:hint="default"/>
                <w:color w:val="auto"/>
                <w:sz w:val="24"/>
                <w:szCs w:val="24"/>
                <w:lang w:val="en-US"/>
              </w:rPr>
            </w:pPr>
            <w:r>
              <w:rPr>
                <w:color w:val="auto"/>
                <w:sz w:val="24"/>
                <w:szCs w:val="24"/>
              </w:rPr>
              <w:t>Tiêu chí 2</w:t>
            </w:r>
            <w:r>
              <w:rPr>
                <w:rFonts w:hint="default"/>
                <w:color w:val="auto"/>
                <w:sz w:val="24"/>
                <w:szCs w:val="24"/>
                <w:lang w:val="en-US"/>
              </w:rPr>
              <w:t>, Tiêu chí 5</w:t>
            </w:r>
          </w:p>
        </w:tc>
        <w:tc>
          <w:tcPr>
            <w:tcW w:w="1308" w:type="dxa"/>
          </w:tcPr>
          <w:p w14:paraId="1BF8354C">
            <w:pPr>
              <w:jc w:val="center"/>
              <w:rPr>
                <w:color w:val="auto"/>
                <w:sz w:val="24"/>
                <w:szCs w:val="24"/>
              </w:rPr>
            </w:pPr>
            <w:r>
              <w:rPr>
                <w:color w:val="auto"/>
                <w:sz w:val="24"/>
                <w:szCs w:val="24"/>
                <w:lang w:val="en-US"/>
              </w:rPr>
              <w:t xml:space="preserve"> </w:t>
            </w:r>
          </w:p>
        </w:tc>
        <w:tc>
          <w:tcPr>
            <w:tcW w:w="2410" w:type="dxa"/>
          </w:tcPr>
          <w:p w14:paraId="0398326B">
            <w:pPr>
              <w:ind w:firstLine="284"/>
              <w:jc w:val="both"/>
              <w:rPr>
                <w:color w:val="auto"/>
                <w:sz w:val="24"/>
                <w:szCs w:val="24"/>
              </w:rPr>
            </w:pPr>
            <w:r>
              <w:rPr>
                <w:color w:val="auto"/>
                <w:sz w:val="24"/>
                <w:szCs w:val="24"/>
              </w:rPr>
              <w:t xml:space="preserve">- Cần làm rõ, hoàn thiện thêm để xác định chính xác Tiêu chí rà soát, đề nghị cân nhắc xếp vào Tiêu chí 5. </w:t>
            </w:r>
          </w:p>
          <w:p w14:paraId="1A6525DB">
            <w:pPr>
              <w:ind w:firstLine="284"/>
              <w:jc w:val="both"/>
              <w:rPr>
                <w:color w:val="auto"/>
                <w:sz w:val="24"/>
                <w:szCs w:val="24"/>
              </w:rPr>
            </w:pPr>
            <w:r>
              <w:rPr>
                <w:color w:val="auto"/>
                <w:sz w:val="24"/>
                <w:szCs w:val="24"/>
              </w:rPr>
              <w:t>Bổ sung văn bản là căn cứ rà soát là Luật Tổ chức chính quyền địa phương số 72/2025/QH15.</w:t>
            </w:r>
          </w:p>
          <w:p w14:paraId="497270E6">
            <w:pPr>
              <w:ind w:firstLine="284"/>
              <w:jc w:val="both"/>
              <w:rPr>
                <w:color w:val="auto"/>
                <w:sz w:val="24"/>
                <w:szCs w:val="24"/>
              </w:rPr>
            </w:pPr>
            <w:r>
              <w:rPr>
                <w:color w:val="auto"/>
                <w:sz w:val="24"/>
                <w:szCs w:val="24"/>
              </w:rPr>
              <w:t>- STT 2 và STT 4 có nội dung rà soát liên quan đến Thông tư 23/2016/TT-BTTTT, đề nghị gộp chung.</w:t>
            </w:r>
          </w:p>
        </w:tc>
      </w:tr>
      <w:tr w14:paraId="6718F2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04" w:type="dxa"/>
          </w:tcPr>
          <w:p w14:paraId="0CD78861">
            <w:pPr>
              <w:numPr>
                <w:ilvl w:val="0"/>
                <w:numId w:val="2"/>
              </w:numPr>
              <w:tabs>
                <w:tab w:val="left" w:pos="425"/>
              </w:tabs>
              <w:ind w:left="501" w:leftChars="0" w:firstLineChars="0"/>
              <w:rPr>
                <w:color w:val="auto"/>
                <w:sz w:val="24"/>
                <w:szCs w:val="24"/>
              </w:rPr>
            </w:pPr>
          </w:p>
        </w:tc>
        <w:tc>
          <w:tcPr>
            <w:tcW w:w="1843" w:type="dxa"/>
          </w:tcPr>
          <w:p w14:paraId="0F0B19EC">
            <w:pPr>
              <w:rPr>
                <w:color w:val="auto"/>
                <w:sz w:val="24"/>
                <w:szCs w:val="24"/>
              </w:rPr>
            </w:pPr>
            <w:r>
              <w:rPr>
                <w:color w:val="auto"/>
                <w:sz w:val="24"/>
                <w:szCs w:val="24"/>
              </w:rPr>
              <w:t>Thông tư số 07/2017/TT-BTTTT ngày 23/6/2017 quy định về mã bưu chính quốc gia</w:t>
            </w:r>
          </w:p>
        </w:tc>
        <w:tc>
          <w:tcPr>
            <w:tcW w:w="1417" w:type="dxa"/>
            <w:shd w:val="clear" w:color="auto" w:fill="auto"/>
            <w:vAlign w:val="top"/>
          </w:tcPr>
          <w:p w14:paraId="281639D8">
            <w:pPr>
              <w:jc w:val="both"/>
              <w:rPr>
                <w:rFonts w:ascii="Times New Roman" w:hAnsi="Times New Roman" w:eastAsia="Times New Roman" w:cs="Times New Roman"/>
                <w:color w:val="auto"/>
                <w:sz w:val="24"/>
                <w:szCs w:val="24"/>
                <w:lang w:val="en" w:eastAsia="en-US" w:bidi="ar-SA"/>
              </w:rPr>
            </w:pPr>
            <w:r>
              <w:rPr>
                <w:color w:val="auto"/>
                <w:sz w:val="24"/>
                <w:szCs w:val="24"/>
              </w:rPr>
              <w:t>Nghị định số 225/2026/NĐ-CP ngày 24/6/2026 của Chính phủ quy định chức năng, nhiệm vụ, quyền hạn và cơ cấu tổ chức của Bộ Khoa học và Công nghệ</w:t>
            </w:r>
          </w:p>
        </w:tc>
        <w:tc>
          <w:tcPr>
            <w:tcW w:w="4051" w:type="dxa"/>
          </w:tcPr>
          <w:p w14:paraId="4F286432">
            <w:pPr>
              <w:jc w:val="both"/>
              <w:rPr>
                <w:color w:val="auto"/>
                <w:sz w:val="24"/>
                <w:szCs w:val="24"/>
              </w:rPr>
            </w:pPr>
            <w:r>
              <w:rPr>
                <w:color w:val="auto"/>
                <w:sz w:val="24"/>
                <w:szCs w:val="24"/>
              </w:rPr>
              <w:t>Điều 5. Cấu trúc Mã bưu chính quốc gia:</w:t>
            </w:r>
            <w:r>
              <w:rPr>
                <w:color w:val="auto"/>
                <w:sz w:val="24"/>
                <w:szCs w:val="24"/>
              </w:rPr>
              <w:br w:type="textWrapping"/>
            </w:r>
            <w:r>
              <w:rPr>
                <w:color w:val="auto"/>
                <w:sz w:val="24"/>
                <w:szCs w:val="24"/>
              </w:rPr>
              <w:t>Mã bưu chính quốc gia bao gồm tập hợp 05 (năm) ký tự số, cụ thể như sau:</w:t>
            </w:r>
            <w:r>
              <w:rPr>
                <w:color w:val="auto"/>
                <w:sz w:val="24"/>
                <w:szCs w:val="24"/>
              </w:rPr>
              <w:br w:type="textWrapping"/>
            </w:r>
            <w:r>
              <w:rPr>
                <w:color w:val="auto"/>
                <w:sz w:val="24"/>
                <w:szCs w:val="24"/>
              </w:rPr>
              <w:t>1. Hai (02) ký tự đầu tiên xác định tỉnh, thành phố trực thuộc Trung ương.</w:t>
            </w:r>
            <w:r>
              <w:rPr>
                <w:color w:val="auto"/>
                <w:sz w:val="24"/>
                <w:szCs w:val="24"/>
              </w:rPr>
              <w:br w:type="textWrapping"/>
            </w:r>
            <w:r>
              <w:rPr>
                <w:color w:val="auto"/>
                <w:sz w:val="24"/>
                <w:szCs w:val="24"/>
              </w:rPr>
              <w:t>2. Ba (03) hoặc bốn (04) ký tự đầu tiên xác định quận, huyện và đơn vị hành chính tương đương.</w:t>
            </w:r>
            <w:r>
              <w:rPr>
                <w:color w:val="auto"/>
                <w:sz w:val="24"/>
                <w:szCs w:val="24"/>
              </w:rPr>
              <w:br w:type="textWrapping"/>
            </w:r>
            <w:r>
              <w:rPr>
                <w:color w:val="auto"/>
                <w:sz w:val="24"/>
                <w:szCs w:val="24"/>
              </w:rPr>
              <w:t>3. Năm (05) ký tự xác định đối tượng gán Mã bưu chính quốc gia.</w:t>
            </w:r>
            <w:r>
              <w:rPr>
                <w:color w:val="auto"/>
                <w:sz w:val="24"/>
                <w:szCs w:val="24"/>
              </w:rPr>
              <w:br w:type="textWrapping"/>
            </w:r>
            <w:r>
              <w:rPr>
                <w:color w:val="auto"/>
                <w:sz w:val="24"/>
                <w:szCs w:val="24"/>
              </w:rPr>
              <w:t>- Luật số 72/2025/QH15 Tổ chức chính quyền địa phương quy định đơn vị hành chính được tổ chức thành 02 cấp, gồm có: cấp tỉnh và cấp xã, dẫn đến tác động, ảnh hưởng đến việc xác định địa bàn trước đây thuộc đơn vị hành chính cấp huyện.</w:t>
            </w:r>
          </w:p>
        </w:tc>
        <w:tc>
          <w:tcPr>
            <w:tcW w:w="1394" w:type="dxa"/>
          </w:tcPr>
          <w:p w14:paraId="5F96D627">
            <w:pPr>
              <w:jc w:val="both"/>
              <w:rPr>
                <w:color w:val="auto"/>
                <w:sz w:val="24"/>
                <w:szCs w:val="24"/>
              </w:rPr>
            </w:pPr>
            <w:r>
              <w:rPr>
                <w:color w:val="auto"/>
                <w:sz w:val="24"/>
                <w:szCs w:val="24"/>
              </w:rPr>
              <w:t>Sửa đổi, bổ sung</w:t>
            </w:r>
          </w:p>
        </w:tc>
        <w:tc>
          <w:tcPr>
            <w:tcW w:w="1275" w:type="dxa"/>
          </w:tcPr>
          <w:p w14:paraId="4B51E480">
            <w:pPr>
              <w:jc w:val="center"/>
              <w:rPr>
                <w:color w:val="auto"/>
                <w:sz w:val="24"/>
                <w:szCs w:val="24"/>
              </w:rPr>
            </w:pPr>
            <w:r>
              <w:rPr>
                <w:rFonts w:hint="default"/>
                <w:color w:val="auto"/>
                <w:sz w:val="24"/>
                <w:szCs w:val="24"/>
                <w:lang w:val="en-US"/>
              </w:rPr>
              <w:t>Tháng 12/</w:t>
            </w:r>
            <w:r>
              <w:rPr>
                <w:color w:val="auto"/>
                <w:sz w:val="24"/>
                <w:szCs w:val="24"/>
              </w:rPr>
              <w:t>2027</w:t>
            </w:r>
          </w:p>
        </w:tc>
        <w:tc>
          <w:tcPr>
            <w:tcW w:w="1245" w:type="dxa"/>
          </w:tcPr>
          <w:p w14:paraId="046EED33">
            <w:pPr>
              <w:jc w:val="center"/>
              <w:rPr>
                <w:rFonts w:hint="default"/>
                <w:color w:val="auto"/>
                <w:sz w:val="24"/>
                <w:szCs w:val="24"/>
                <w:lang w:val="en-US"/>
              </w:rPr>
            </w:pPr>
            <w:r>
              <w:rPr>
                <w:color w:val="auto"/>
                <w:sz w:val="24"/>
                <w:szCs w:val="24"/>
              </w:rPr>
              <w:t>Tiêu chí 2</w:t>
            </w:r>
            <w:r>
              <w:rPr>
                <w:rFonts w:hint="default"/>
                <w:color w:val="auto"/>
                <w:sz w:val="24"/>
                <w:szCs w:val="24"/>
                <w:lang w:val="en-US"/>
              </w:rPr>
              <w:t>, Tiêu chí 5</w:t>
            </w:r>
          </w:p>
        </w:tc>
        <w:tc>
          <w:tcPr>
            <w:tcW w:w="1308" w:type="dxa"/>
          </w:tcPr>
          <w:p w14:paraId="6F1AF7CE">
            <w:pPr>
              <w:jc w:val="center"/>
              <w:rPr>
                <w:color w:val="auto"/>
                <w:sz w:val="24"/>
                <w:szCs w:val="24"/>
              </w:rPr>
            </w:pPr>
            <w:r>
              <w:rPr>
                <w:color w:val="auto"/>
                <w:sz w:val="24"/>
                <w:szCs w:val="24"/>
                <w:lang w:val="en-US"/>
              </w:rPr>
              <w:t xml:space="preserve"> </w:t>
            </w:r>
          </w:p>
        </w:tc>
        <w:tc>
          <w:tcPr>
            <w:tcW w:w="2410" w:type="dxa"/>
          </w:tcPr>
          <w:p w14:paraId="3D9C395E">
            <w:pPr>
              <w:ind w:firstLine="284"/>
              <w:jc w:val="both"/>
              <w:rPr>
                <w:color w:val="auto"/>
                <w:sz w:val="24"/>
                <w:szCs w:val="24"/>
              </w:rPr>
            </w:pPr>
            <w:r>
              <w:rPr>
                <w:color w:val="auto"/>
                <w:sz w:val="24"/>
                <w:szCs w:val="24"/>
              </w:rPr>
              <w:t xml:space="preserve">- Cần làm rõ, hoàn thiện thêm để xác định chính xác Tiêu chí rà soát, đề nghị cân nhắc xếp vào Tiêu chí 5. </w:t>
            </w:r>
          </w:p>
          <w:p w14:paraId="24299B91">
            <w:pPr>
              <w:ind w:firstLine="284"/>
              <w:jc w:val="both"/>
              <w:rPr>
                <w:color w:val="auto"/>
                <w:sz w:val="24"/>
                <w:szCs w:val="24"/>
              </w:rPr>
            </w:pPr>
            <w:r>
              <w:rPr>
                <w:color w:val="auto"/>
                <w:sz w:val="24"/>
                <w:szCs w:val="24"/>
              </w:rPr>
              <w:t>- Bổ sung văn bản là căn cứ rà soát là Luật Tổ chức chính quyền địa phương số 72/2025/QH15.</w:t>
            </w:r>
          </w:p>
          <w:p w14:paraId="18BD5D9E">
            <w:pPr>
              <w:ind w:firstLine="284"/>
              <w:jc w:val="both"/>
              <w:rPr>
                <w:color w:val="auto"/>
                <w:sz w:val="24"/>
                <w:szCs w:val="24"/>
              </w:rPr>
            </w:pPr>
            <w:r>
              <w:rPr>
                <w:color w:val="auto"/>
                <w:sz w:val="24"/>
                <w:szCs w:val="24"/>
              </w:rPr>
              <w:t>- Bỏ căn cứ rà soát là Nghị quyết 190/2025/NQ-QH15 ngày 19/02/2025.</w:t>
            </w:r>
          </w:p>
        </w:tc>
      </w:tr>
      <w:tr w14:paraId="39105E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531" w:hRule="atLeast"/>
          <w:jc w:val="center"/>
        </w:trPr>
        <w:tc>
          <w:tcPr>
            <w:tcW w:w="704" w:type="dxa"/>
            <w:vMerge w:val="restart"/>
          </w:tcPr>
          <w:p w14:paraId="5DDAE906">
            <w:pPr>
              <w:numPr>
                <w:ilvl w:val="0"/>
                <w:numId w:val="2"/>
              </w:numPr>
              <w:tabs>
                <w:tab w:val="left" w:pos="425"/>
              </w:tabs>
              <w:ind w:left="501" w:leftChars="0" w:firstLineChars="0"/>
              <w:rPr>
                <w:color w:val="auto"/>
                <w:sz w:val="24"/>
                <w:szCs w:val="24"/>
              </w:rPr>
            </w:pPr>
          </w:p>
        </w:tc>
        <w:tc>
          <w:tcPr>
            <w:tcW w:w="1843" w:type="dxa"/>
            <w:vMerge w:val="restart"/>
          </w:tcPr>
          <w:p w14:paraId="091F44CE">
            <w:pPr>
              <w:jc w:val="both"/>
              <w:rPr>
                <w:color w:val="auto"/>
                <w:sz w:val="24"/>
                <w:szCs w:val="24"/>
              </w:rPr>
            </w:pPr>
            <w:r>
              <w:rPr>
                <w:color w:val="auto"/>
                <w:sz w:val="24"/>
                <w:szCs w:val="24"/>
              </w:rPr>
              <w:t>Thông tư 17/2017/TT-BTTTT ngày 23/06/2017 Quy định một số nội dung và biện pháp thi hành Quyết định số 45/2016/QĐ-TTg ngày 19 tháng 10 năm 2016 của Thủ tướng Chính phủ về việc tiếp nhận hồ sơ, trả kết quả giải quyết thủ tục hành chính qua dịch vụ bưu chính công ích</w:t>
            </w:r>
          </w:p>
        </w:tc>
        <w:tc>
          <w:tcPr>
            <w:tcW w:w="1417" w:type="dxa"/>
          </w:tcPr>
          <w:p w14:paraId="04D4D3CB">
            <w:pPr>
              <w:jc w:val="both"/>
              <w:rPr>
                <w:color w:val="auto"/>
                <w:sz w:val="24"/>
                <w:szCs w:val="24"/>
              </w:rPr>
            </w:pPr>
            <w:r>
              <w:rPr>
                <w:color w:val="auto"/>
                <w:sz w:val="24"/>
                <w:szCs w:val="24"/>
              </w:rPr>
              <w:t>Nghị định số 225/2026/NĐ-CP ngày 24/6/2026 của Chính phủ quy định chức năng, nhiệm vụ, quyền hạn và cơ cấu tổ chức của Bộ Khoa học và Công nghệ</w:t>
            </w:r>
          </w:p>
        </w:tc>
        <w:tc>
          <w:tcPr>
            <w:tcW w:w="4051" w:type="dxa"/>
          </w:tcPr>
          <w:p w14:paraId="0FF47708">
            <w:pPr>
              <w:tabs>
                <w:tab w:val="right" w:pos="8640"/>
              </w:tabs>
              <w:jc w:val="both"/>
              <w:rPr>
                <w:color w:val="auto"/>
                <w:sz w:val="24"/>
                <w:szCs w:val="24"/>
              </w:rPr>
            </w:pPr>
            <w:r>
              <w:rPr>
                <w:color w:val="auto"/>
                <w:sz w:val="24"/>
                <w:szCs w:val="24"/>
              </w:rPr>
              <w:t xml:space="preserve">- Đổi tên do sáp nhập Bộ, Sở: Bộ Thông tin và Truyền thông, Sở Thông tin và Truyền thông </w:t>
            </w:r>
          </w:p>
          <w:p w14:paraId="6A2054F4">
            <w:pPr>
              <w:tabs>
                <w:tab w:val="right" w:pos="8640"/>
              </w:tabs>
              <w:ind w:right="-49"/>
              <w:jc w:val="both"/>
              <w:rPr>
                <w:color w:val="auto"/>
                <w:sz w:val="24"/>
                <w:szCs w:val="24"/>
              </w:rPr>
            </w:pPr>
            <w:r>
              <w:rPr>
                <w:color w:val="auto"/>
                <w:sz w:val="24"/>
                <w:szCs w:val="24"/>
              </w:rPr>
              <w:t>- Nội dung thay đổi liên quan đến cơ cấu tổ chức, mô hình (thời gian toàn trình thuộc phạm vi quận/thị xã/huyện, thời gian khiếu nại...)</w:t>
            </w:r>
          </w:p>
          <w:p w14:paraId="21DA24B0">
            <w:pPr>
              <w:jc w:val="both"/>
              <w:rPr>
                <w:color w:val="auto"/>
                <w:sz w:val="24"/>
                <w:szCs w:val="24"/>
              </w:rPr>
            </w:pPr>
          </w:p>
        </w:tc>
        <w:tc>
          <w:tcPr>
            <w:tcW w:w="1394" w:type="dxa"/>
          </w:tcPr>
          <w:p w14:paraId="316FD3E3">
            <w:pPr>
              <w:tabs>
                <w:tab w:val="right" w:pos="8640"/>
              </w:tabs>
              <w:ind w:right="-49"/>
              <w:jc w:val="both"/>
              <w:rPr>
                <w:color w:val="auto"/>
                <w:sz w:val="24"/>
                <w:szCs w:val="24"/>
              </w:rPr>
            </w:pPr>
            <w:r>
              <w:rPr>
                <w:color w:val="auto"/>
                <w:sz w:val="24"/>
                <w:szCs w:val="24"/>
              </w:rPr>
              <w:t>Thông tư sửa đổi, bổ sung</w:t>
            </w:r>
          </w:p>
          <w:p w14:paraId="4E160841">
            <w:pPr>
              <w:jc w:val="both"/>
              <w:rPr>
                <w:color w:val="auto"/>
                <w:sz w:val="24"/>
                <w:szCs w:val="24"/>
              </w:rPr>
            </w:pPr>
          </w:p>
        </w:tc>
        <w:tc>
          <w:tcPr>
            <w:tcW w:w="1275" w:type="dxa"/>
          </w:tcPr>
          <w:p w14:paraId="1C414A43">
            <w:pPr>
              <w:jc w:val="center"/>
              <w:rPr>
                <w:color w:val="auto"/>
                <w:sz w:val="24"/>
                <w:szCs w:val="24"/>
              </w:rPr>
            </w:pPr>
            <w:r>
              <w:rPr>
                <w:rFonts w:hint="default"/>
                <w:color w:val="auto"/>
                <w:sz w:val="24"/>
                <w:szCs w:val="24"/>
                <w:lang w:val="en-US"/>
              </w:rPr>
              <w:t>Tháng 12/</w:t>
            </w:r>
            <w:r>
              <w:rPr>
                <w:color w:val="auto"/>
                <w:sz w:val="24"/>
                <w:szCs w:val="24"/>
              </w:rPr>
              <w:t>2026</w:t>
            </w:r>
          </w:p>
        </w:tc>
        <w:tc>
          <w:tcPr>
            <w:tcW w:w="1245" w:type="dxa"/>
          </w:tcPr>
          <w:p w14:paraId="57CA5941">
            <w:pPr>
              <w:jc w:val="center"/>
              <w:rPr>
                <w:color w:val="auto"/>
                <w:sz w:val="24"/>
                <w:szCs w:val="24"/>
              </w:rPr>
            </w:pPr>
            <w:r>
              <w:rPr>
                <w:color w:val="auto"/>
                <w:sz w:val="24"/>
                <w:szCs w:val="24"/>
              </w:rPr>
              <w:t xml:space="preserve">Tiêu chí </w:t>
            </w:r>
            <w:r>
              <w:rPr>
                <w:rFonts w:hint="default"/>
                <w:color w:val="auto"/>
                <w:sz w:val="24"/>
                <w:szCs w:val="24"/>
                <w:lang w:val="en-US"/>
              </w:rPr>
              <w:t>5</w:t>
            </w:r>
          </w:p>
        </w:tc>
        <w:tc>
          <w:tcPr>
            <w:tcW w:w="1308" w:type="dxa"/>
            <w:vMerge w:val="restart"/>
          </w:tcPr>
          <w:p w14:paraId="07BD09C6">
            <w:pPr>
              <w:jc w:val="center"/>
              <w:rPr>
                <w:color w:val="auto"/>
                <w:sz w:val="24"/>
                <w:szCs w:val="24"/>
              </w:rPr>
            </w:pPr>
            <w:r>
              <w:rPr>
                <w:color w:val="auto"/>
                <w:sz w:val="24"/>
                <w:szCs w:val="24"/>
                <w:lang w:val="en-US"/>
              </w:rPr>
              <w:t xml:space="preserve"> </w:t>
            </w:r>
          </w:p>
        </w:tc>
        <w:tc>
          <w:tcPr>
            <w:tcW w:w="2410" w:type="dxa"/>
          </w:tcPr>
          <w:p w14:paraId="596A8DC3">
            <w:pPr>
              <w:ind w:firstLine="284"/>
              <w:jc w:val="both"/>
              <w:rPr>
                <w:color w:val="auto"/>
                <w:sz w:val="24"/>
                <w:szCs w:val="24"/>
              </w:rPr>
            </w:pPr>
            <w:r>
              <w:rPr>
                <w:color w:val="auto"/>
                <w:sz w:val="24"/>
                <w:szCs w:val="24"/>
              </w:rPr>
              <w:t xml:space="preserve">- Cần làm rõ, hoàn thiện thêm để xác định chính xác Tiêu chí rà soát, đề nghị cân nhắc xếp vào Tiêu chí 5. </w:t>
            </w:r>
          </w:p>
          <w:p w14:paraId="47AAA229">
            <w:pPr>
              <w:ind w:firstLine="284"/>
              <w:jc w:val="both"/>
              <w:rPr>
                <w:color w:val="auto"/>
                <w:sz w:val="24"/>
                <w:szCs w:val="24"/>
              </w:rPr>
            </w:pPr>
            <w:r>
              <w:rPr>
                <w:color w:val="auto"/>
                <w:sz w:val="24"/>
                <w:szCs w:val="24"/>
              </w:rPr>
              <w:t>- Căn cứ rà soát là Nghị định số 55/2025/NĐ-CP ngày 02/3/2025 của Chính phủ quy định chức năng, nhiệm vụ, quyền hạn và cơ cấu tổ chức của Bộ Khoa học và Công nghệđã hết hiệu lực, được thay thế bởi Nghị định số 225/2026/NĐ-CP ngày 24/6/2026 của Chính phủ quy định chức năng, nhiệm vụ, quyền hạn và cơ cấu tổ chức của Bộ Khoa học và Công nghệ</w:t>
            </w:r>
          </w:p>
        </w:tc>
      </w:tr>
      <w:tr w14:paraId="05E492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22" w:hRule="atLeast"/>
          <w:jc w:val="center"/>
        </w:trPr>
        <w:tc>
          <w:tcPr>
            <w:tcW w:w="704" w:type="dxa"/>
            <w:vMerge w:val="continue"/>
          </w:tcPr>
          <w:p w14:paraId="0C65D847">
            <w:pPr>
              <w:widowControl w:val="0"/>
              <w:spacing w:line="276" w:lineRule="auto"/>
              <w:rPr>
                <w:color w:val="auto"/>
                <w:sz w:val="24"/>
                <w:szCs w:val="24"/>
              </w:rPr>
            </w:pPr>
          </w:p>
        </w:tc>
        <w:tc>
          <w:tcPr>
            <w:tcW w:w="1843" w:type="dxa"/>
            <w:vMerge w:val="continue"/>
          </w:tcPr>
          <w:p w14:paraId="29A57886">
            <w:pPr>
              <w:widowControl w:val="0"/>
              <w:spacing w:line="276" w:lineRule="auto"/>
              <w:rPr>
                <w:color w:val="auto"/>
                <w:sz w:val="24"/>
                <w:szCs w:val="24"/>
              </w:rPr>
            </w:pPr>
          </w:p>
        </w:tc>
        <w:tc>
          <w:tcPr>
            <w:tcW w:w="1417" w:type="dxa"/>
          </w:tcPr>
          <w:p w14:paraId="2CDAE4BA">
            <w:pPr>
              <w:jc w:val="both"/>
              <w:rPr>
                <w:color w:val="auto"/>
                <w:sz w:val="24"/>
                <w:szCs w:val="24"/>
              </w:rPr>
            </w:pPr>
            <w:r>
              <w:rPr>
                <w:color w:val="auto"/>
                <w:sz w:val="24"/>
                <w:szCs w:val="24"/>
              </w:rPr>
              <w:t>Luật Tổ chức chính quyền địa phương số 72/2025/QH15</w:t>
            </w:r>
            <w:r>
              <w:rPr>
                <w:rFonts w:hint="default"/>
                <w:color w:val="auto"/>
                <w:sz w:val="24"/>
                <w:szCs w:val="24"/>
                <w:lang w:val="en-US"/>
              </w:rPr>
              <w:t xml:space="preserve">, </w:t>
            </w:r>
            <w:r>
              <w:rPr>
                <w:color w:val="auto"/>
                <w:sz w:val="24"/>
                <w:szCs w:val="24"/>
              </w:rPr>
              <w:t>Tình hình thực tiễn</w:t>
            </w:r>
          </w:p>
        </w:tc>
        <w:tc>
          <w:tcPr>
            <w:tcW w:w="4051" w:type="dxa"/>
          </w:tcPr>
          <w:p w14:paraId="3586F60D">
            <w:pPr>
              <w:jc w:val="both"/>
              <w:rPr>
                <w:color w:val="auto"/>
                <w:sz w:val="24"/>
                <w:szCs w:val="24"/>
              </w:rPr>
            </w:pPr>
            <w:r>
              <w:rPr>
                <w:color w:val="auto"/>
                <w:sz w:val="24"/>
                <w:szCs w:val="24"/>
              </w:rPr>
              <w:t>- Điểm Khoản 7 Điều 2:</w:t>
            </w:r>
          </w:p>
          <w:p w14:paraId="4D014362">
            <w:pPr>
              <w:jc w:val="both"/>
              <w:rPr>
                <w:color w:val="auto"/>
                <w:sz w:val="24"/>
                <w:szCs w:val="24"/>
              </w:rPr>
            </w:pPr>
            <w:r>
              <w:rPr>
                <w:color w:val="auto"/>
                <w:sz w:val="24"/>
                <w:szCs w:val="24"/>
              </w:rPr>
              <w:t>đ) Thời gian toàn trình trong phạm vi nội tỉnh được quy định như sau (trừ trường hợp bất khả kháng theo quy định của pháp luật):</w:t>
            </w:r>
          </w:p>
          <w:p w14:paraId="08A20378">
            <w:pPr>
              <w:jc w:val="both"/>
              <w:rPr>
                <w:color w:val="auto"/>
                <w:sz w:val="24"/>
                <w:szCs w:val="24"/>
              </w:rPr>
            </w:pPr>
            <w:r>
              <w:rPr>
                <w:color w:val="auto"/>
                <w:sz w:val="24"/>
                <w:szCs w:val="24"/>
              </w:rPr>
              <w:t>+ Tối đa J + 1 đối với dịch vụ nhận gửi hồ sơ hoặc chuyển trả kết quả trong phạm vi nội quận/thị xã/huyện/thành phố trực thuộc tỉnh; tối đa J + 2 đối với trường hợp có phát giấy hẹn trả kết quả.</w:t>
            </w:r>
          </w:p>
          <w:p w14:paraId="41448CC8">
            <w:pPr>
              <w:jc w:val="both"/>
              <w:rPr>
                <w:color w:val="auto"/>
                <w:sz w:val="24"/>
                <w:szCs w:val="24"/>
              </w:rPr>
            </w:pPr>
            <w:r>
              <w:rPr>
                <w:color w:val="auto"/>
                <w:sz w:val="24"/>
                <w:szCs w:val="24"/>
              </w:rPr>
              <w:t xml:space="preserve"> + Tối đa J + 2 đối với dịch vụ nhận gửi hồ sơ hoặc chuyển trả kết quả giữa các quận/thị xã/huyện/thành phố trực thuộc tỉnh; tối đa J + 4 đối với trường hợp có phát giấy hẹn trả kết quả.</w:t>
            </w:r>
          </w:p>
          <w:p w14:paraId="662675B9">
            <w:pPr>
              <w:jc w:val="both"/>
              <w:rPr>
                <w:color w:val="auto"/>
                <w:sz w:val="24"/>
                <w:szCs w:val="24"/>
              </w:rPr>
            </w:pPr>
            <w:r>
              <w:rPr>
                <w:color w:val="auto"/>
                <w:sz w:val="24"/>
                <w:szCs w:val="24"/>
              </w:rPr>
              <w:t>- Luật số 72/2025/QH15 Tổ chức chính quyền địa phương quy định đơn vị hành chính được tổ chức thành 02 cấp, gồm có: cấp tỉnh và cấp xã, dẫn đến tác động, ảnh hưởng đến việc xác định địa bàn trước đây thuộc đơn vị hành chính cấp huyện.</w:t>
            </w:r>
          </w:p>
        </w:tc>
        <w:tc>
          <w:tcPr>
            <w:tcW w:w="1394" w:type="dxa"/>
          </w:tcPr>
          <w:p w14:paraId="02AA8B4A">
            <w:pPr>
              <w:jc w:val="both"/>
              <w:rPr>
                <w:color w:val="auto"/>
                <w:sz w:val="24"/>
                <w:szCs w:val="24"/>
              </w:rPr>
            </w:pPr>
            <w:r>
              <w:rPr>
                <w:color w:val="auto"/>
                <w:sz w:val="24"/>
                <w:szCs w:val="24"/>
              </w:rPr>
              <w:t>Sửa đổi, bổ sung</w:t>
            </w:r>
          </w:p>
        </w:tc>
        <w:tc>
          <w:tcPr>
            <w:tcW w:w="1275" w:type="dxa"/>
          </w:tcPr>
          <w:p w14:paraId="025B4DDB">
            <w:pPr>
              <w:jc w:val="center"/>
              <w:rPr>
                <w:color w:val="auto"/>
                <w:sz w:val="24"/>
                <w:szCs w:val="24"/>
              </w:rPr>
            </w:pPr>
            <w:r>
              <w:rPr>
                <w:rFonts w:hint="default"/>
                <w:color w:val="auto"/>
                <w:sz w:val="24"/>
                <w:szCs w:val="24"/>
                <w:lang w:val="en-US"/>
              </w:rPr>
              <w:t>Tháng 12/</w:t>
            </w:r>
            <w:r>
              <w:rPr>
                <w:color w:val="auto"/>
                <w:sz w:val="24"/>
                <w:szCs w:val="24"/>
              </w:rPr>
              <w:t>2027</w:t>
            </w:r>
          </w:p>
        </w:tc>
        <w:tc>
          <w:tcPr>
            <w:tcW w:w="1245" w:type="dxa"/>
          </w:tcPr>
          <w:p w14:paraId="44F62573">
            <w:pPr>
              <w:jc w:val="center"/>
              <w:rPr>
                <w:rFonts w:hint="default"/>
                <w:color w:val="auto"/>
                <w:sz w:val="24"/>
                <w:szCs w:val="24"/>
                <w:lang w:val="en-US"/>
              </w:rPr>
            </w:pPr>
            <w:r>
              <w:rPr>
                <w:color w:val="auto"/>
                <w:sz w:val="24"/>
                <w:szCs w:val="24"/>
              </w:rPr>
              <w:t>Tiêu chí 2</w:t>
            </w:r>
            <w:r>
              <w:rPr>
                <w:rFonts w:hint="default"/>
                <w:color w:val="auto"/>
                <w:sz w:val="24"/>
                <w:szCs w:val="24"/>
                <w:lang w:val="en-US"/>
              </w:rPr>
              <w:t>, Tiêu chí 5</w:t>
            </w:r>
          </w:p>
        </w:tc>
        <w:tc>
          <w:tcPr>
            <w:tcW w:w="1308" w:type="dxa"/>
            <w:vMerge w:val="continue"/>
          </w:tcPr>
          <w:p w14:paraId="36D62633">
            <w:pPr>
              <w:widowControl w:val="0"/>
              <w:spacing w:line="276" w:lineRule="auto"/>
              <w:rPr>
                <w:color w:val="auto"/>
                <w:sz w:val="24"/>
                <w:szCs w:val="24"/>
              </w:rPr>
            </w:pPr>
          </w:p>
        </w:tc>
        <w:tc>
          <w:tcPr>
            <w:tcW w:w="2410" w:type="dxa"/>
          </w:tcPr>
          <w:p w14:paraId="50C47177">
            <w:pPr>
              <w:ind w:firstLine="284"/>
              <w:jc w:val="both"/>
              <w:rPr>
                <w:color w:val="auto"/>
                <w:sz w:val="24"/>
                <w:szCs w:val="24"/>
              </w:rPr>
            </w:pPr>
            <w:r>
              <w:rPr>
                <w:color w:val="auto"/>
                <w:sz w:val="24"/>
                <w:szCs w:val="24"/>
              </w:rPr>
              <w:t xml:space="preserve">- Cần làm rõ, hoàn thiện thêm để xác định chính xác Tiêu chí rà soát, đề nghị cân nhắc xếp vào Tiêu chí 5. </w:t>
            </w:r>
          </w:p>
          <w:p w14:paraId="1961DF64">
            <w:pPr>
              <w:ind w:firstLine="284"/>
              <w:jc w:val="both"/>
              <w:rPr>
                <w:color w:val="auto"/>
                <w:sz w:val="24"/>
                <w:szCs w:val="24"/>
              </w:rPr>
            </w:pPr>
            <w:r>
              <w:rPr>
                <w:color w:val="auto"/>
                <w:sz w:val="24"/>
                <w:szCs w:val="24"/>
              </w:rPr>
              <w:t>- Bổ sung văn bản là căn cứ rà soát là Luật Tổ chức chính quyền địa phương số 72/2025/QH15.</w:t>
            </w:r>
          </w:p>
          <w:p w14:paraId="0310C203">
            <w:pPr>
              <w:ind w:firstLine="284"/>
              <w:jc w:val="both"/>
              <w:rPr>
                <w:color w:val="auto"/>
                <w:sz w:val="24"/>
                <w:szCs w:val="24"/>
              </w:rPr>
            </w:pPr>
          </w:p>
          <w:p w14:paraId="0CB0E492">
            <w:pPr>
              <w:widowControl w:val="0"/>
              <w:spacing w:line="276" w:lineRule="auto"/>
              <w:ind w:firstLine="284"/>
              <w:jc w:val="both"/>
              <w:rPr>
                <w:color w:val="auto"/>
                <w:sz w:val="24"/>
                <w:szCs w:val="24"/>
              </w:rPr>
            </w:pPr>
          </w:p>
        </w:tc>
      </w:tr>
      <w:tr w14:paraId="79265A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79" w:hRule="atLeast"/>
          <w:jc w:val="center"/>
        </w:trPr>
        <w:tc>
          <w:tcPr>
            <w:tcW w:w="704" w:type="dxa"/>
            <w:vMerge w:val="restart"/>
          </w:tcPr>
          <w:p w14:paraId="59238585">
            <w:pPr>
              <w:numPr>
                <w:ilvl w:val="0"/>
                <w:numId w:val="2"/>
              </w:numPr>
              <w:tabs>
                <w:tab w:val="left" w:pos="425"/>
              </w:tabs>
              <w:ind w:left="501" w:leftChars="0" w:firstLineChars="0"/>
              <w:rPr>
                <w:color w:val="auto"/>
                <w:sz w:val="24"/>
                <w:szCs w:val="24"/>
              </w:rPr>
            </w:pPr>
          </w:p>
        </w:tc>
        <w:tc>
          <w:tcPr>
            <w:tcW w:w="1843" w:type="dxa"/>
            <w:vMerge w:val="restart"/>
          </w:tcPr>
          <w:p w14:paraId="4317D6F4">
            <w:pPr>
              <w:jc w:val="both"/>
              <w:rPr>
                <w:color w:val="auto"/>
                <w:sz w:val="24"/>
                <w:szCs w:val="24"/>
              </w:rPr>
            </w:pPr>
            <w:r>
              <w:rPr>
                <w:color w:val="auto"/>
                <w:sz w:val="24"/>
                <w:szCs w:val="24"/>
              </w:rPr>
              <w:t>Thông tư 22/2017/TT-BTTTT ngày 29/9/2017 Quy định mức giá cước tối đa và chính sách miễn, giảm giá cước dịch vụ nhận gửi hồ sơ giải quyết thủ tục hành chính và dịch vụ chuyển trả kết quả giải quyết thủ tục hành chính qua dịch vụ bưu chính công ích</w:t>
            </w:r>
          </w:p>
        </w:tc>
        <w:tc>
          <w:tcPr>
            <w:tcW w:w="1417" w:type="dxa"/>
          </w:tcPr>
          <w:p w14:paraId="08F032EE">
            <w:pPr>
              <w:jc w:val="both"/>
              <w:rPr>
                <w:color w:val="auto"/>
                <w:sz w:val="24"/>
                <w:szCs w:val="24"/>
              </w:rPr>
            </w:pPr>
            <w:r>
              <w:rPr>
                <w:color w:val="auto"/>
                <w:sz w:val="24"/>
                <w:szCs w:val="24"/>
              </w:rPr>
              <w:t>Tình hình thực tiễn</w:t>
            </w:r>
          </w:p>
        </w:tc>
        <w:tc>
          <w:tcPr>
            <w:tcW w:w="4051" w:type="dxa"/>
          </w:tcPr>
          <w:p w14:paraId="573CACFA">
            <w:pPr>
              <w:tabs>
                <w:tab w:val="right" w:pos="8640"/>
              </w:tabs>
              <w:jc w:val="both"/>
              <w:rPr>
                <w:color w:val="auto"/>
                <w:sz w:val="24"/>
                <w:szCs w:val="24"/>
              </w:rPr>
            </w:pPr>
            <w:r>
              <w:rPr>
                <w:color w:val="auto"/>
                <w:sz w:val="24"/>
                <w:szCs w:val="24"/>
              </w:rPr>
              <w:t xml:space="preserve">- Đổi tên do sát nhập Bộ, Sở: Bộ Thông tin và Truyền thông, Sở Thông tin và Truyền thông </w:t>
            </w:r>
          </w:p>
          <w:p w14:paraId="1BEB1C5F">
            <w:pPr>
              <w:tabs>
                <w:tab w:val="right" w:pos="8640"/>
              </w:tabs>
              <w:jc w:val="both"/>
              <w:rPr>
                <w:color w:val="auto"/>
                <w:sz w:val="24"/>
                <w:szCs w:val="24"/>
              </w:rPr>
            </w:pPr>
            <w:r>
              <w:rPr>
                <w:color w:val="auto"/>
                <w:sz w:val="24"/>
                <w:szCs w:val="24"/>
              </w:rPr>
              <w:t>- Nội dung thay đổi liên quan đến cơ cấu tổ chức, mô hình (Mức giá cước quận/thị xã/huyện/ thành phố, Quy định về vùng tính giá cước…)</w:t>
            </w:r>
          </w:p>
        </w:tc>
        <w:tc>
          <w:tcPr>
            <w:tcW w:w="1394" w:type="dxa"/>
          </w:tcPr>
          <w:p w14:paraId="5436B60E">
            <w:pPr>
              <w:tabs>
                <w:tab w:val="right" w:pos="8640"/>
              </w:tabs>
              <w:ind w:right="-49"/>
              <w:jc w:val="both"/>
              <w:rPr>
                <w:color w:val="auto"/>
                <w:sz w:val="24"/>
                <w:szCs w:val="24"/>
              </w:rPr>
            </w:pPr>
            <w:r>
              <w:rPr>
                <w:color w:val="auto"/>
                <w:sz w:val="24"/>
                <w:szCs w:val="24"/>
              </w:rPr>
              <w:t>Thông tư sửa đổi, bổ sung</w:t>
            </w:r>
          </w:p>
          <w:p w14:paraId="26CAA052">
            <w:pPr>
              <w:jc w:val="both"/>
              <w:rPr>
                <w:color w:val="auto"/>
                <w:sz w:val="24"/>
                <w:szCs w:val="24"/>
              </w:rPr>
            </w:pPr>
          </w:p>
        </w:tc>
        <w:tc>
          <w:tcPr>
            <w:tcW w:w="1275" w:type="dxa"/>
          </w:tcPr>
          <w:p w14:paraId="7F01411D">
            <w:pPr>
              <w:jc w:val="center"/>
              <w:rPr>
                <w:color w:val="auto"/>
                <w:sz w:val="24"/>
                <w:szCs w:val="24"/>
              </w:rPr>
            </w:pPr>
            <w:r>
              <w:rPr>
                <w:rFonts w:hint="default"/>
                <w:color w:val="auto"/>
                <w:sz w:val="24"/>
                <w:szCs w:val="24"/>
                <w:lang w:val="en-US"/>
              </w:rPr>
              <w:t>Tháng 12/</w:t>
            </w:r>
            <w:r>
              <w:rPr>
                <w:color w:val="auto"/>
                <w:sz w:val="24"/>
                <w:szCs w:val="24"/>
              </w:rPr>
              <w:t>2026</w:t>
            </w:r>
          </w:p>
        </w:tc>
        <w:tc>
          <w:tcPr>
            <w:tcW w:w="1245" w:type="dxa"/>
          </w:tcPr>
          <w:p w14:paraId="27555C14">
            <w:pPr>
              <w:jc w:val="center"/>
              <w:rPr>
                <w:color w:val="auto"/>
                <w:sz w:val="24"/>
                <w:szCs w:val="24"/>
              </w:rPr>
            </w:pPr>
            <w:r>
              <w:rPr>
                <w:color w:val="auto"/>
                <w:sz w:val="24"/>
                <w:szCs w:val="24"/>
              </w:rPr>
              <w:t>Tiêu chí  5</w:t>
            </w:r>
          </w:p>
        </w:tc>
        <w:tc>
          <w:tcPr>
            <w:tcW w:w="1308" w:type="dxa"/>
            <w:vMerge w:val="restart"/>
          </w:tcPr>
          <w:p w14:paraId="66898325">
            <w:pPr>
              <w:jc w:val="center"/>
              <w:rPr>
                <w:color w:val="auto"/>
                <w:sz w:val="24"/>
                <w:szCs w:val="24"/>
              </w:rPr>
            </w:pPr>
          </w:p>
        </w:tc>
        <w:tc>
          <w:tcPr>
            <w:tcW w:w="2410" w:type="dxa"/>
          </w:tcPr>
          <w:p w14:paraId="2EC07E52">
            <w:pPr>
              <w:ind w:firstLine="284"/>
              <w:jc w:val="both"/>
              <w:rPr>
                <w:color w:val="auto"/>
                <w:sz w:val="24"/>
                <w:szCs w:val="24"/>
              </w:rPr>
            </w:pPr>
            <w:r>
              <w:rPr>
                <w:color w:val="auto"/>
                <w:sz w:val="24"/>
                <w:szCs w:val="24"/>
              </w:rPr>
              <w:t>Nhất trí</w:t>
            </w:r>
          </w:p>
        </w:tc>
      </w:tr>
      <w:tr w14:paraId="0757FB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518" w:hRule="atLeast"/>
          <w:jc w:val="center"/>
        </w:trPr>
        <w:tc>
          <w:tcPr>
            <w:tcW w:w="704" w:type="dxa"/>
            <w:vMerge w:val="continue"/>
          </w:tcPr>
          <w:p w14:paraId="514DF17D">
            <w:pPr>
              <w:widowControl w:val="0"/>
              <w:spacing w:line="276" w:lineRule="auto"/>
              <w:rPr>
                <w:color w:val="auto"/>
                <w:sz w:val="24"/>
                <w:szCs w:val="24"/>
              </w:rPr>
            </w:pPr>
          </w:p>
        </w:tc>
        <w:tc>
          <w:tcPr>
            <w:tcW w:w="1843" w:type="dxa"/>
            <w:vMerge w:val="continue"/>
          </w:tcPr>
          <w:p w14:paraId="49D2E307">
            <w:pPr>
              <w:widowControl w:val="0"/>
              <w:spacing w:line="276" w:lineRule="auto"/>
              <w:rPr>
                <w:color w:val="auto"/>
                <w:sz w:val="24"/>
                <w:szCs w:val="24"/>
              </w:rPr>
            </w:pPr>
          </w:p>
        </w:tc>
        <w:tc>
          <w:tcPr>
            <w:tcW w:w="1417" w:type="dxa"/>
          </w:tcPr>
          <w:p w14:paraId="02C0FEE8">
            <w:pPr>
              <w:jc w:val="both"/>
              <w:rPr>
                <w:color w:val="auto"/>
                <w:sz w:val="24"/>
                <w:szCs w:val="24"/>
              </w:rPr>
            </w:pPr>
            <w:r>
              <w:rPr>
                <w:color w:val="auto"/>
                <w:sz w:val="24"/>
                <w:szCs w:val="24"/>
              </w:rPr>
              <w:t>Luật Tổ chức chính quyền địa phương số 72/2025/QH15</w:t>
            </w:r>
          </w:p>
        </w:tc>
        <w:tc>
          <w:tcPr>
            <w:tcW w:w="4051" w:type="dxa"/>
          </w:tcPr>
          <w:p w14:paraId="12ED270C">
            <w:pPr>
              <w:jc w:val="both"/>
              <w:rPr>
                <w:color w:val="auto"/>
                <w:sz w:val="24"/>
                <w:szCs w:val="24"/>
              </w:rPr>
            </w:pPr>
            <w:r>
              <w:rPr>
                <w:color w:val="auto"/>
                <w:sz w:val="24"/>
                <w:szCs w:val="24"/>
              </w:rPr>
              <w:t>- Phụ lục Thông tư;</w:t>
            </w:r>
          </w:p>
          <w:p w14:paraId="121F35B8">
            <w:pPr>
              <w:jc w:val="both"/>
              <w:rPr>
                <w:color w:val="auto"/>
                <w:sz w:val="24"/>
                <w:szCs w:val="24"/>
              </w:rPr>
            </w:pPr>
            <w:r>
              <w:rPr>
                <w:color w:val="auto"/>
                <w:sz w:val="24"/>
                <w:szCs w:val="24"/>
              </w:rPr>
              <w:t>- Luật số 72/2025/QH15 Tổ chức chính quyền địa phương quy định đơn vị hành chính được tổ chức thành 02 cấp, gồm có: cấp tỉnh và cấp xã, dẫn đến tác động, ảnh hưởng đến việc xác định địa bàn trước đây thuộc đơn vị hành chính cấp huyện.</w:t>
            </w:r>
          </w:p>
        </w:tc>
        <w:tc>
          <w:tcPr>
            <w:tcW w:w="1394" w:type="dxa"/>
          </w:tcPr>
          <w:p w14:paraId="2B3C12E2">
            <w:pPr>
              <w:jc w:val="both"/>
              <w:rPr>
                <w:color w:val="auto"/>
                <w:sz w:val="24"/>
                <w:szCs w:val="24"/>
              </w:rPr>
            </w:pPr>
            <w:r>
              <w:rPr>
                <w:color w:val="auto"/>
                <w:sz w:val="24"/>
                <w:szCs w:val="24"/>
              </w:rPr>
              <w:t>Sửa đổi, bổ sung</w:t>
            </w:r>
          </w:p>
        </w:tc>
        <w:tc>
          <w:tcPr>
            <w:tcW w:w="1275" w:type="dxa"/>
          </w:tcPr>
          <w:p w14:paraId="28547700">
            <w:pPr>
              <w:jc w:val="center"/>
              <w:rPr>
                <w:color w:val="auto"/>
                <w:sz w:val="24"/>
                <w:szCs w:val="24"/>
              </w:rPr>
            </w:pPr>
            <w:r>
              <w:rPr>
                <w:rFonts w:hint="default"/>
                <w:color w:val="auto"/>
                <w:sz w:val="24"/>
                <w:szCs w:val="24"/>
                <w:lang w:val="en-US"/>
              </w:rPr>
              <w:t>Tháng 12/</w:t>
            </w:r>
            <w:r>
              <w:rPr>
                <w:color w:val="auto"/>
                <w:sz w:val="24"/>
                <w:szCs w:val="24"/>
              </w:rPr>
              <w:t>2027</w:t>
            </w:r>
          </w:p>
        </w:tc>
        <w:tc>
          <w:tcPr>
            <w:tcW w:w="1245" w:type="dxa"/>
          </w:tcPr>
          <w:p w14:paraId="5908A7E5">
            <w:pPr>
              <w:jc w:val="center"/>
              <w:rPr>
                <w:rFonts w:hint="default"/>
                <w:color w:val="auto"/>
                <w:sz w:val="24"/>
                <w:szCs w:val="24"/>
                <w:lang w:val="en-US"/>
              </w:rPr>
            </w:pPr>
            <w:r>
              <w:rPr>
                <w:color w:val="auto"/>
                <w:sz w:val="24"/>
                <w:szCs w:val="24"/>
              </w:rPr>
              <w:t>Tiêu chí 2</w:t>
            </w:r>
            <w:r>
              <w:rPr>
                <w:rFonts w:hint="default"/>
                <w:color w:val="auto"/>
                <w:sz w:val="24"/>
                <w:szCs w:val="24"/>
                <w:lang w:val="en-US"/>
              </w:rPr>
              <w:t>.3</w:t>
            </w:r>
          </w:p>
        </w:tc>
        <w:tc>
          <w:tcPr>
            <w:tcW w:w="1308" w:type="dxa"/>
            <w:vMerge w:val="continue"/>
          </w:tcPr>
          <w:p w14:paraId="0005415E">
            <w:pPr>
              <w:widowControl w:val="0"/>
              <w:spacing w:line="276" w:lineRule="auto"/>
              <w:rPr>
                <w:color w:val="auto"/>
                <w:sz w:val="24"/>
                <w:szCs w:val="24"/>
              </w:rPr>
            </w:pPr>
          </w:p>
        </w:tc>
        <w:tc>
          <w:tcPr>
            <w:tcW w:w="2410" w:type="dxa"/>
          </w:tcPr>
          <w:p w14:paraId="668C738C">
            <w:pPr>
              <w:ind w:firstLine="284"/>
              <w:jc w:val="both"/>
              <w:rPr>
                <w:color w:val="auto"/>
                <w:sz w:val="24"/>
                <w:szCs w:val="24"/>
              </w:rPr>
            </w:pPr>
            <w:r>
              <w:rPr>
                <w:color w:val="auto"/>
                <w:sz w:val="24"/>
                <w:szCs w:val="24"/>
              </w:rPr>
              <w:t>- Bổ sung văn bản là căn cứ rà soát là Luật Tổ chức chính quyền địa phương số 72/2025/QH15.</w:t>
            </w:r>
          </w:p>
          <w:p w14:paraId="63CEA722">
            <w:pPr>
              <w:widowControl w:val="0"/>
              <w:spacing w:line="276" w:lineRule="auto"/>
              <w:ind w:firstLine="284"/>
              <w:jc w:val="both"/>
              <w:rPr>
                <w:color w:val="auto"/>
                <w:sz w:val="24"/>
                <w:szCs w:val="24"/>
              </w:rPr>
            </w:pPr>
            <w:r>
              <w:rPr>
                <w:color w:val="auto"/>
                <w:sz w:val="24"/>
                <w:szCs w:val="24"/>
              </w:rPr>
              <w:t>- Bỏ căn cứ rà soát là Nghị quyết 190/2025/NQ-QH15 ngày 19/02/2025.</w:t>
            </w:r>
          </w:p>
          <w:p w14:paraId="78CA626E">
            <w:pPr>
              <w:widowControl w:val="0"/>
              <w:spacing w:line="276" w:lineRule="auto"/>
              <w:ind w:firstLine="284"/>
              <w:jc w:val="both"/>
              <w:rPr>
                <w:color w:val="auto"/>
                <w:sz w:val="24"/>
                <w:szCs w:val="24"/>
              </w:rPr>
            </w:pPr>
          </w:p>
        </w:tc>
      </w:tr>
      <w:tr w14:paraId="60E59F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5" w:hRule="atLeast"/>
          <w:jc w:val="center"/>
        </w:trPr>
        <w:tc>
          <w:tcPr>
            <w:tcW w:w="13237" w:type="dxa"/>
            <w:gridSpan w:val="8"/>
          </w:tcPr>
          <w:p w14:paraId="6F41B34E">
            <w:pPr>
              <w:pStyle w:val="3"/>
              <w:ind w:firstLine="284"/>
              <w:rPr>
                <w:color w:val="auto"/>
                <w:lang w:val="en-US"/>
              </w:rPr>
            </w:pPr>
            <w:r>
              <w:rPr>
                <w:color w:val="auto"/>
                <w:sz w:val="24"/>
                <w:szCs w:val="24"/>
              </w:rPr>
              <w:t>III. LĨNH VỰC TIÊU CHUẨN ĐO LƯỜNG CHẤT LƯỢNG</w:t>
            </w:r>
            <w:r>
              <w:rPr>
                <w:color w:val="auto"/>
                <w:sz w:val="24"/>
                <w:szCs w:val="24"/>
                <w:lang w:val="en-US"/>
              </w:rPr>
              <w:t xml:space="preserve"> </w:t>
            </w:r>
          </w:p>
        </w:tc>
        <w:tc>
          <w:tcPr>
            <w:tcW w:w="2410" w:type="dxa"/>
          </w:tcPr>
          <w:p w14:paraId="732B6D3D">
            <w:pPr>
              <w:pStyle w:val="3"/>
              <w:ind w:firstLine="284"/>
              <w:jc w:val="both"/>
              <w:rPr>
                <w:color w:val="auto"/>
                <w:sz w:val="24"/>
                <w:szCs w:val="24"/>
              </w:rPr>
            </w:pPr>
          </w:p>
        </w:tc>
      </w:tr>
      <w:tr w14:paraId="263294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5" w:hRule="atLeast"/>
          <w:jc w:val="center"/>
        </w:trPr>
        <w:tc>
          <w:tcPr>
            <w:tcW w:w="704" w:type="dxa"/>
            <w:vMerge w:val="restart"/>
          </w:tcPr>
          <w:p w14:paraId="3B813BD1">
            <w:pPr>
              <w:numPr>
                <w:ilvl w:val="0"/>
                <w:numId w:val="3"/>
              </w:numPr>
              <w:tabs>
                <w:tab w:val="left" w:pos="425"/>
              </w:tabs>
              <w:rPr>
                <w:color w:val="auto"/>
                <w:sz w:val="24"/>
                <w:szCs w:val="24"/>
              </w:rPr>
            </w:pPr>
          </w:p>
        </w:tc>
        <w:tc>
          <w:tcPr>
            <w:tcW w:w="1843" w:type="dxa"/>
            <w:vMerge w:val="restart"/>
          </w:tcPr>
          <w:p w14:paraId="5171B016">
            <w:pPr>
              <w:jc w:val="center"/>
              <w:rPr>
                <w:color w:val="auto"/>
                <w:sz w:val="24"/>
                <w:szCs w:val="24"/>
              </w:rPr>
            </w:pPr>
            <w:r>
              <w:rPr>
                <w:color w:val="auto"/>
                <w:sz w:val="24"/>
                <w:szCs w:val="24"/>
              </w:rPr>
              <w:t>Luật Đo lường năm 2011</w:t>
            </w:r>
          </w:p>
        </w:tc>
        <w:tc>
          <w:tcPr>
            <w:tcW w:w="1417" w:type="dxa"/>
          </w:tcPr>
          <w:p w14:paraId="0A5048E5">
            <w:pPr>
              <w:jc w:val="both"/>
              <w:rPr>
                <w:color w:val="auto"/>
                <w:sz w:val="24"/>
                <w:szCs w:val="24"/>
              </w:rPr>
            </w:pPr>
            <w:r>
              <w:rPr>
                <w:color w:val="auto"/>
                <w:sz w:val="24"/>
                <w:szCs w:val="24"/>
              </w:rPr>
              <w:t>Tình hình thực tiễn</w:t>
            </w:r>
          </w:p>
        </w:tc>
        <w:tc>
          <w:tcPr>
            <w:tcW w:w="4051" w:type="dxa"/>
          </w:tcPr>
          <w:p w14:paraId="5DF5D6E2">
            <w:pPr>
              <w:tabs>
                <w:tab w:val="left" w:pos="3826"/>
                <w:tab w:val="right" w:pos="8640"/>
              </w:tabs>
              <w:ind w:right="-49"/>
              <w:jc w:val="both"/>
              <w:rPr>
                <w:color w:val="auto"/>
                <w:sz w:val="24"/>
                <w:szCs w:val="24"/>
              </w:rPr>
            </w:pPr>
            <w:r>
              <w:rPr>
                <w:color w:val="auto"/>
                <w:sz w:val="24"/>
                <w:szCs w:val="24"/>
              </w:rPr>
              <w:t>Cần bổ sung, điều chỉnh một số chính sách để phù hợp yêu cầu thực tiễn hiện nay. Ngoài ra, một số quy định cụ thể trong Luật không còn phù hợp. Ví dụ: Điều 50, 51; khoản 3, khoản 4 Điều 56 Quy định thanh tra về đo lường; đối tượng và nhiệm vụ thanh tra chuyên ngành về đo lường; Quy định về trách nhiệm của UBND cấp huyện và cấp xã trong thực hiện công tác quản lý nhà nước về đo lường. Điều 7 Luật Thanh tra năm 2025: Không còn Thanh tra Sở Khoa học và Công nghệ và thanh tra chuyên ngành về đo lường Điều 1, Điều 2 Luật Tổ chức chính quyền địa phương ngày 16/06/2025: Không còn tổ chức chính quyền địa phương là UBND cấp huyện và thực hiện tổ chức lại UBND cấp xã.</w:t>
            </w:r>
          </w:p>
        </w:tc>
        <w:tc>
          <w:tcPr>
            <w:tcW w:w="1394" w:type="dxa"/>
            <w:vMerge w:val="restart"/>
          </w:tcPr>
          <w:p w14:paraId="7DF9A6C3">
            <w:pPr>
              <w:jc w:val="both"/>
              <w:rPr>
                <w:rFonts w:hint="default"/>
                <w:color w:val="auto"/>
                <w:sz w:val="24"/>
                <w:szCs w:val="24"/>
                <w:lang w:val="en-US"/>
              </w:rPr>
            </w:pPr>
            <w:r>
              <w:rPr>
                <w:rFonts w:hint="default"/>
                <w:color w:val="auto"/>
                <w:sz w:val="24"/>
                <w:szCs w:val="24"/>
                <w:lang w:val="en-US"/>
              </w:rPr>
              <w:t>Sửa đổi, bổ sung</w:t>
            </w:r>
          </w:p>
        </w:tc>
        <w:tc>
          <w:tcPr>
            <w:tcW w:w="1275" w:type="dxa"/>
            <w:vMerge w:val="restart"/>
          </w:tcPr>
          <w:p w14:paraId="516D8302">
            <w:pPr>
              <w:jc w:val="center"/>
              <w:rPr>
                <w:color w:val="auto"/>
                <w:sz w:val="24"/>
                <w:szCs w:val="24"/>
              </w:rPr>
            </w:pPr>
            <w:r>
              <w:rPr>
                <w:rFonts w:hint="default"/>
                <w:color w:val="auto"/>
                <w:sz w:val="24"/>
                <w:szCs w:val="24"/>
                <w:lang w:val="en-US"/>
              </w:rPr>
              <w:t>Tháng 12/</w:t>
            </w:r>
            <w:r>
              <w:rPr>
                <w:color w:val="auto"/>
                <w:sz w:val="24"/>
                <w:szCs w:val="24"/>
              </w:rPr>
              <w:t>2026</w:t>
            </w:r>
          </w:p>
        </w:tc>
        <w:tc>
          <w:tcPr>
            <w:tcW w:w="1245" w:type="dxa"/>
            <w:vMerge w:val="restart"/>
          </w:tcPr>
          <w:p w14:paraId="1DB8BF69">
            <w:pPr>
              <w:jc w:val="center"/>
              <w:rPr>
                <w:color w:val="auto"/>
                <w:sz w:val="24"/>
                <w:szCs w:val="24"/>
              </w:rPr>
            </w:pPr>
            <w:r>
              <w:rPr>
                <w:color w:val="auto"/>
                <w:sz w:val="24"/>
                <w:szCs w:val="24"/>
              </w:rPr>
              <w:t>Tiêu chí  2</w:t>
            </w:r>
            <w:r>
              <w:rPr>
                <w:rFonts w:hint="default"/>
                <w:color w:val="auto"/>
                <w:sz w:val="24"/>
                <w:szCs w:val="24"/>
                <w:lang w:val="en-US"/>
              </w:rPr>
              <w:t>.3</w:t>
            </w:r>
            <w:r>
              <w:rPr>
                <w:color w:val="auto"/>
                <w:sz w:val="24"/>
                <w:szCs w:val="24"/>
              </w:rPr>
              <w:t>, 5</w:t>
            </w:r>
          </w:p>
        </w:tc>
        <w:tc>
          <w:tcPr>
            <w:tcW w:w="1308" w:type="dxa"/>
            <w:vMerge w:val="restart"/>
          </w:tcPr>
          <w:p w14:paraId="0A13A56A">
            <w:pPr>
              <w:jc w:val="center"/>
              <w:rPr>
                <w:color w:val="auto"/>
                <w:sz w:val="24"/>
                <w:szCs w:val="24"/>
                <w:lang w:val="en-US"/>
              </w:rPr>
            </w:pPr>
            <w:r>
              <w:rPr>
                <w:color w:val="auto"/>
                <w:sz w:val="24"/>
                <w:szCs w:val="24"/>
                <w:lang w:val="en-US"/>
              </w:rPr>
              <w:t xml:space="preserve"> </w:t>
            </w:r>
          </w:p>
        </w:tc>
        <w:tc>
          <w:tcPr>
            <w:tcW w:w="2410" w:type="dxa"/>
          </w:tcPr>
          <w:p w14:paraId="0D2A5968">
            <w:pPr>
              <w:ind w:firstLine="284"/>
              <w:jc w:val="both"/>
              <w:rPr>
                <w:color w:val="auto"/>
                <w:sz w:val="24"/>
                <w:szCs w:val="24"/>
              </w:rPr>
            </w:pPr>
            <w:r>
              <w:rPr>
                <w:color w:val="auto"/>
                <w:sz w:val="24"/>
                <w:szCs w:val="24"/>
              </w:rPr>
              <w:t>- Nhất trí</w:t>
            </w:r>
          </w:p>
          <w:p w14:paraId="77495022">
            <w:pPr>
              <w:ind w:firstLine="284"/>
              <w:jc w:val="both"/>
              <w:rPr>
                <w:color w:val="auto"/>
                <w:sz w:val="24"/>
                <w:szCs w:val="24"/>
              </w:rPr>
            </w:pPr>
          </w:p>
        </w:tc>
      </w:tr>
      <w:tr w14:paraId="4035E8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1" w:hRule="atLeast"/>
          <w:jc w:val="center"/>
        </w:trPr>
        <w:tc>
          <w:tcPr>
            <w:tcW w:w="704" w:type="dxa"/>
            <w:vMerge w:val="continue"/>
          </w:tcPr>
          <w:p w14:paraId="173BE56F">
            <w:pPr>
              <w:widowControl w:val="0"/>
              <w:spacing w:line="276" w:lineRule="auto"/>
              <w:rPr>
                <w:color w:val="auto"/>
                <w:sz w:val="24"/>
                <w:szCs w:val="24"/>
              </w:rPr>
            </w:pPr>
          </w:p>
        </w:tc>
        <w:tc>
          <w:tcPr>
            <w:tcW w:w="1843" w:type="dxa"/>
            <w:vMerge w:val="continue"/>
          </w:tcPr>
          <w:p w14:paraId="4F2889A1">
            <w:pPr>
              <w:widowControl w:val="0"/>
              <w:spacing w:line="276" w:lineRule="auto"/>
              <w:rPr>
                <w:color w:val="auto"/>
                <w:sz w:val="24"/>
                <w:szCs w:val="24"/>
              </w:rPr>
            </w:pPr>
          </w:p>
        </w:tc>
        <w:tc>
          <w:tcPr>
            <w:tcW w:w="1417" w:type="dxa"/>
          </w:tcPr>
          <w:p w14:paraId="36692B40">
            <w:pPr>
              <w:tabs>
                <w:tab w:val="right" w:pos="8640"/>
              </w:tabs>
              <w:jc w:val="both"/>
              <w:rPr>
                <w:color w:val="auto"/>
                <w:sz w:val="24"/>
                <w:szCs w:val="24"/>
              </w:rPr>
            </w:pPr>
            <w:r>
              <w:rPr>
                <w:color w:val="auto"/>
                <w:sz w:val="24"/>
                <w:szCs w:val="24"/>
              </w:rPr>
              <w:t>Luật Đầu tư số 143/2025/QH15</w:t>
            </w:r>
          </w:p>
        </w:tc>
        <w:tc>
          <w:tcPr>
            <w:tcW w:w="4051" w:type="dxa"/>
          </w:tcPr>
          <w:p w14:paraId="5D1205FB">
            <w:pPr>
              <w:tabs>
                <w:tab w:val="left" w:pos="3826"/>
                <w:tab w:val="right" w:pos="8640"/>
              </w:tabs>
              <w:ind w:right="-49"/>
              <w:jc w:val="both"/>
              <w:rPr>
                <w:color w:val="auto"/>
                <w:sz w:val="24"/>
                <w:szCs w:val="24"/>
              </w:rPr>
            </w:pPr>
            <w:r>
              <w:rPr>
                <w:color w:val="auto"/>
                <w:sz w:val="24"/>
                <w:szCs w:val="24"/>
              </w:rPr>
              <w:t>Nội dung về điều kiện hoạt động của tổ chức kiểm định, hiệu chuẩn, thử nghiệm tại Điều 25 không nằm trong danh mục ngành nghề kinh doanh có điều kiện, chưa phù hợp với khoản 2 Điều 4 và khoản 1 Điều 7 Luật Đầu tư số 143/2025/QH15 ngày 11/12/2025 có hiệu lực từ ngày 01/7/2026</w:t>
            </w:r>
          </w:p>
        </w:tc>
        <w:tc>
          <w:tcPr>
            <w:tcW w:w="1394" w:type="dxa"/>
            <w:vMerge w:val="continue"/>
          </w:tcPr>
          <w:p w14:paraId="00CA70C5">
            <w:pPr>
              <w:widowControl w:val="0"/>
              <w:spacing w:line="276" w:lineRule="auto"/>
              <w:rPr>
                <w:color w:val="auto"/>
                <w:sz w:val="24"/>
                <w:szCs w:val="24"/>
              </w:rPr>
            </w:pPr>
          </w:p>
        </w:tc>
        <w:tc>
          <w:tcPr>
            <w:tcW w:w="1275" w:type="dxa"/>
            <w:vMerge w:val="continue"/>
          </w:tcPr>
          <w:p w14:paraId="5559A71C">
            <w:pPr>
              <w:widowControl w:val="0"/>
              <w:spacing w:line="276" w:lineRule="auto"/>
              <w:rPr>
                <w:color w:val="auto"/>
                <w:sz w:val="24"/>
                <w:szCs w:val="24"/>
              </w:rPr>
            </w:pPr>
          </w:p>
        </w:tc>
        <w:tc>
          <w:tcPr>
            <w:tcW w:w="1245" w:type="dxa"/>
            <w:vMerge w:val="continue"/>
          </w:tcPr>
          <w:p w14:paraId="3C3F46CC">
            <w:pPr>
              <w:widowControl w:val="0"/>
              <w:spacing w:line="276" w:lineRule="auto"/>
              <w:rPr>
                <w:color w:val="auto"/>
                <w:sz w:val="24"/>
                <w:szCs w:val="24"/>
              </w:rPr>
            </w:pPr>
          </w:p>
        </w:tc>
        <w:tc>
          <w:tcPr>
            <w:tcW w:w="1308" w:type="dxa"/>
            <w:vMerge w:val="continue"/>
          </w:tcPr>
          <w:p w14:paraId="16F45275">
            <w:pPr>
              <w:widowControl w:val="0"/>
              <w:spacing w:line="276" w:lineRule="auto"/>
              <w:rPr>
                <w:color w:val="auto"/>
                <w:sz w:val="24"/>
                <w:szCs w:val="24"/>
              </w:rPr>
            </w:pPr>
          </w:p>
        </w:tc>
        <w:tc>
          <w:tcPr>
            <w:tcW w:w="2410" w:type="dxa"/>
          </w:tcPr>
          <w:p w14:paraId="305F289E">
            <w:pPr>
              <w:widowControl w:val="0"/>
              <w:spacing w:line="276" w:lineRule="auto"/>
              <w:ind w:firstLine="284"/>
              <w:jc w:val="both"/>
              <w:rPr>
                <w:color w:val="auto"/>
                <w:sz w:val="24"/>
                <w:szCs w:val="24"/>
              </w:rPr>
            </w:pPr>
            <w:r>
              <w:rPr>
                <w:color w:val="auto"/>
                <w:sz w:val="24"/>
                <w:szCs w:val="24"/>
              </w:rPr>
              <w:t>Cần làm rõ, hoàn thiện thêm để xác định chính xác Tiêu chí rà soát, đề nghị cân nhắc xếp vào Tiêu chí 2.</w:t>
            </w:r>
          </w:p>
        </w:tc>
      </w:tr>
      <w:tr w14:paraId="0EA0B3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1" w:hRule="atLeast"/>
          <w:jc w:val="center"/>
        </w:trPr>
        <w:tc>
          <w:tcPr>
            <w:tcW w:w="704" w:type="dxa"/>
          </w:tcPr>
          <w:p w14:paraId="492E50CF">
            <w:pPr>
              <w:numPr>
                <w:ilvl w:val="0"/>
                <w:numId w:val="3"/>
              </w:numPr>
              <w:tabs>
                <w:tab w:val="left" w:pos="425"/>
              </w:tabs>
              <w:rPr>
                <w:color w:val="auto"/>
                <w:sz w:val="24"/>
                <w:szCs w:val="24"/>
              </w:rPr>
            </w:pPr>
          </w:p>
        </w:tc>
        <w:tc>
          <w:tcPr>
            <w:tcW w:w="1843" w:type="dxa"/>
          </w:tcPr>
          <w:p w14:paraId="7D63983F">
            <w:pPr>
              <w:jc w:val="both"/>
              <w:rPr>
                <w:color w:val="auto"/>
                <w:sz w:val="24"/>
                <w:szCs w:val="24"/>
              </w:rPr>
            </w:pPr>
            <w:r>
              <w:rPr>
                <w:color w:val="auto"/>
                <w:sz w:val="24"/>
                <w:szCs w:val="24"/>
              </w:rPr>
              <w:t>Luật Tiêu chuẩn và Quy chuẩn kỹ thuật năm 2006, được sửa đổi, bổ sung năm 2025</w:t>
            </w:r>
          </w:p>
        </w:tc>
        <w:tc>
          <w:tcPr>
            <w:tcW w:w="1417" w:type="dxa"/>
          </w:tcPr>
          <w:p w14:paraId="1997FC3C">
            <w:pPr>
              <w:tabs>
                <w:tab w:val="right" w:pos="8640"/>
              </w:tabs>
              <w:jc w:val="both"/>
              <w:rPr>
                <w:color w:val="auto"/>
                <w:sz w:val="24"/>
                <w:szCs w:val="24"/>
              </w:rPr>
            </w:pPr>
            <w:r>
              <w:rPr>
                <w:color w:val="auto"/>
                <w:sz w:val="24"/>
                <w:szCs w:val="24"/>
              </w:rPr>
              <w:t>Tình hình thực tiễn</w:t>
            </w:r>
          </w:p>
        </w:tc>
        <w:tc>
          <w:tcPr>
            <w:tcW w:w="4051" w:type="dxa"/>
          </w:tcPr>
          <w:p w14:paraId="0521F248">
            <w:pPr>
              <w:tabs>
                <w:tab w:val="left" w:pos="3826"/>
                <w:tab w:val="right" w:pos="8640"/>
              </w:tabs>
              <w:ind w:right="-49"/>
              <w:jc w:val="both"/>
              <w:rPr>
                <w:color w:val="auto"/>
                <w:sz w:val="24"/>
                <w:szCs w:val="24"/>
              </w:rPr>
            </w:pPr>
            <w:r>
              <w:rPr>
                <w:color w:val="auto"/>
                <w:sz w:val="24"/>
                <w:szCs w:val="24"/>
              </w:rPr>
              <w:t>Luật số 70/2025/QH15 chỉ là luật sửa đổi, bổ sung một số điều của Luật Tiêu chuẩn và Quy chuẩn kỹ thuật năm 2006, chưa được bổ sung, sửa đổi toàn diện. Vì vậy, trong quá trình triển khai từ năm 2026 có thể phát sinh những quy định, nội dung giao thoa giữa Luật số 68/2006/QH11 và quy định mới.</w:t>
            </w:r>
          </w:p>
          <w:p w14:paraId="65F5E4B5">
            <w:pPr>
              <w:tabs>
                <w:tab w:val="left" w:pos="3826"/>
                <w:tab w:val="right" w:pos="8640"/>
              </w:tabs>
              <w:ind w:right="-49"/>
              <w:jc w:val="both"/>
              <w:rPr>
                <w:color w:val="auto"/>
                <w:sz w:val="24"/>
                <w:szCs w:val="24"/>
              </w:rPr>
            </w:pPr>
            <w:r>
              <w:rPr>
                <w:color w:val="auto"/>
                <w:sz w:val="24"/>
                <w:szCs w:val="24"/>
              </w:rPr>
              <w:t xml:space="preserve"> Ngoài ra, Luật số 70/2025/QH15 chỉ sửa đổi, bổ sung một số điều có thể dẫn đến tình trạng các quy định mới chưa được sắp xếp lại trong một cấu trúc tổng thể, logic và dễ áp dụng; một số quy định của Luật số 68/2006/QH11 về xây dựng, thẩm định, áp dụng tiêu chuẩn, quy chuẩn kỹ thuật và phân công trách nhiệm quản lý nhà nước giữa cơ quan trung ương và địa phương có thể chưa phù hợp với chính sách, quy định mới về phân cấp, phân quyền, đổi mới sáng tạo và chuyển đổi số. Một số khó khăn, vướng mắc cần tiếp tục đánh giá gồm:</w:t>
            </w:r>
          </w:p>
          <w:p w14:paraId="471F27BE">
            <w:pPr>
              <w:tabs>
                <w:tab w:val="left" w:pos="3826"/>
                <w:tab w:val="right" w:pos="8640"/>
              </w:tabs>
              <w:ind w:right="-49"/>
              <w:jc w:val="both"/>
              <w:rPr>
                <w:color w:val="auto"/>
                <w:sz w:val="24"/>
                <w:szCs w:val="24"/>
              </w:rPr>
            </w:pPr>
            <w:r>
              <w:rPr>
                <w:color w:val="auto"/>
                <w:sz w:val="24"/>
                <w:szCs w:val="24"/>
              </w:rPr>
              <w:t xml:space="preserve"> - Quy định về nghĩa vụ, thẩm quyền xây dựng, thẩm định, đánh giá tác động, áp dụng tiêu chuẩn, quy chuẩn kỹ thuật đảm bảo phù hợp WTO/TBT, FTA thế hệ mới, và thông lệ quốc tế đảm bảo minh bạch hóa, loại bỏ lợi ích nhóm, cục bộ.</w:t>
            </w:r>
          </w:p>
          <w:p w14:paraId="6D12E95D">
            <w:pPr>
              <w:tabs>
                <w:tab w:val="left" w:pos="3826"/>
                <w:tab w:val="right" w:pos="8640"/>
              </w:tabs>
              <w:ind w:right="-49"/>
              <w:jc w:val="both"/>
              <w:rPr>
                <w:color w:val="auto"/>
                <w:sz w:val="24"/>
                <w:szCs w:val="24"/>
              </w:rPr>
            </w:pPr>
            <w:r>
              <w:rPr>
                <w:color w:val="auto"/>
                <w:sz w:val="24"/>
                <w:szCs w:val="24"/>
              </w:rPr>
              <w:t xml:space="preserve"> - Quy định về xã hội hóa công tác tiêu chuẩn, cơ chế, chính sách hỗ trợ, thu hút hiệp hội ngành hàng, doanh nghiệp, chuyên gia kỹ thuật tham gia sâu vào xây dựng tiêu chuẩn quốc tế trong lĩnh vực công nghệ chiến lược, sản phẩm công nghệ doanh nghiệp Việt Nam có thế mạnh.</w:t>
            </w:r>
          </w:p>
          <w:p w14:paraId="08249A31">
            <w:pPr>
              <w:tabs>
                <w:tab w:val="left" w:pos="3826"/>
                <w:tab w:val="right" w:pos="8640"/>
              </w:tabs>
              <w:ind w:right="-49"/>
              <w:jc w:val="both"/>
              <w:rPr>
                <w:color w:val="auto"/>
                <w:sz w:val="24"/>
                <w:szCs w:val="24"/>
              </w:rPr>
            </w:pPr>
            <w:r>
              <w:rPr>
                <w:color w:val="auto"/>
                <w:sz w:val="24"/>
                <w:szCs w:val="24"/>
              </w:rPr>
              <w:t xml:space="preserve"> - Nguyên tắc, phương thức áp dụng trực tiếp tiêu chuẩn quốc tế, tiêu chuẩn khu vực, tiêu chuẩn nước ngoài tại Việt Nam.</w:t>
            </w:r>
          </w:p>
          <w:p w14:paraId="608B6D9E">
            <w:pPr>
              <w:tabs>
                <w:tab w:val="left" w:pos="3826"/>
                <w:tab w:val="right" w:pos="8640"/>
              </w:tabs>
              <w:ind w:right="-49"/>
              <w:jc w:val="both"/>
              <w:rPr>
                <w:color w:val="auto"/>
                <w:sz w:val="24"/>
                <w:szCs w:val="24"/>
              </w:rPr>
            </w:pPr>
            <w:r>
              <w:rPr>
                <w:color w:val="auto"/>
                <w:sz w:val="24"/>
                <w:szCs w:val="24"/>
              </w:rPr>
              <w:t xml:space="preserve"> - Nguyên tắc cơ bản xây dựng, áp dụng quy chuẩn kỹ thuật phải đảm bảo phù hợp thực tiễn phát triển kinh tế xã hội, thông lệ quốc tế.</w:t>
            </w:r>
          </w:p>
          <w:p w14:paraId="61EF3660">
            <w:pPr>
              <w:tabs>
                <w:tab w:val="left" w:pos="3826"/>
                <w:tab w:val="right" w:pos="8640"/>
              </w:tabs>
              <w:ind w:right="-49"/>
              <w:jc w:val="both"/>
              <w:rPr>
                <w:color w:val="auto"/>
                <w:sz w:val="24"/>
                <w:szCs w:val="24"/>
              </w:rPr>
            </w:pPr>
            <w:r>
              <w:rPr>
                <w:color w:val="auto"/>
                <w:sz w:val="24"/>
                <w:szCs w:val="24"/>
              </w:rPr>
              <w:t xml:space="preserve"> - Quy định về đăng ký, tiếp nhận bản công bố hợp quy trên Cổng Dịch vụ công Quốc gia và việc kết nối với cơ sở dữ liệu quốc tế về TCĐLCL thúc đẩy cải cách TTHC, giảm thời gian, chi phí tuân thủ.</w:t>
            </w:r>
          </w:p>
          <w:p w14:paraId="13980698">
            <w:pPr>
              <w:tabs>
                <w:tab w:val="left" w:pos="3826"/>
                <w:tab w:val="right" w:pos="8640"/>
              </w:tabs>
              <w:ind w:right="-49"/>
              <w:jc w:val="both"/>
              <w:rPr>
                <w:color w:val="auto"/>
                <w:sz w:val="24"/>
                <w:szCs w:val="24"/>
              </w:rPr>
            </w:pPr>
            <w:r>
              <w:rPr>
                <w:color w:val="auto"/>
                <w:sz w:val="24"/>
                <w:szCs w:val="24"/>
              </w:rPr>
              <w:t xml:space="preserve"> - Quy định về thiết lập, vận hành cơ sở dữ liệu quốc gia về TCĐLCL và đảm bảo kết nối Trung tâm Dữ liệu Quốc gia.</w:t>
            </w:r>
          </w:p>
        </w:tc>
        <w:tc>
          <w:tcPr>
            <w:tcW w:w="1394" w:type="dxa"/>
          </w:tcPr>
          <w:p w14:paraId="7D8AC693">
            <w:pPr>
              <w:tabs>
                <w:tab w:val="right" w:pos="8640"/>
              </w:tabs>
              <w:spacing w:before="40" w:after="40"/>
              <w:ind w:right="57"/>
              <w:jc w:val="both"/>
              <w:rPr>
                <w:rFonts w:hint="default"/>
                <w:color w:val="auto"/>
                <w:sz w:val="24"/>
                <w:szCs w:val="24"/>
                <w:lang w:val="en-US"/>
              </w:rPr>
            </w:pPr>
            <w:r>
              <w:rPr>
                <w:rFonts w:hint="default"/>
                <w:color w:val="auto"/>
                <w:sz w:val="24"/>
                <w:szCs w:val="24"/>
                <w:lang w:val="en-US"/>
              </w:rPr>
              <w:t>Sưa đổi, bổ sung</w:t>
            </w:r>
          </w:p>
        </w:tc>
        <w:tc>
          <w:tcPr>
            <w:tcW w:w="1275" w:type="dxa"/>
          </w:tcPr>
          <w:p w14:paraId="13844021">
            <w:pPr>
              <w:jc w:val="center"/>
              <w:rPr>
                <w:color w:val="auto"/>
                <w:sz w:val="24"/>
                <w:szCs w:val="24"/>
              </w:rPr>
            </w:pPr>
            <w:r>
              <w:rPr>
                <w:rFonts w:hint="default"/>
                <w:color w:val="auto"/>
                <w:sz w:val="24"/>
                <w:szCs w:val="24"/>
                <w:lang w:val="en-US"/>
              </w:rPr>
              <w:t>Tháng 12/</w:t>
            </w:r>
            <w:r>
              <w:rPr>
                <w:color w:val="auto"/>
                <w:sz w:val="24"/>
                <w:szCs w:val="24"/>
              </w:rPr>
              <w:t>2027</w:t>
            </w:r>
          </w:p>
        </w:tc>
        <w:tc>
          <w:tcPr>
            <w:tcW w:w="1245" w:type="dxa"/>
          </w:tcPr>
          <w:p w14:paraId="276477B8">
            <w:pPr>
              <w:jc w:val="center"/>
              <w:rPr>
                <w:rFonts w:hint="default"/>
                <w:color w:val="auto"/>
                <w:sz w:val="24"/>
                <w:szCs w:val="24"/>
                <w:lang w:val="en-US"/>
              </w:rPr>
            </w:pPr>
            <w:r>
              <w:rPr>
                <w:color w:val="auto"/>
                <w:sz w:val="24"/>
                <w:szCs w:val="24"/>
              </w:rPr>
              <w:t xml:space="preserve">Tiêu chí  </w:t>
            </w:r>
            <w:r>
              <w:rPr>
                <w:rFonts w:hint="default"/>
                <w:color w:val="auto"/>
                <w:sz w:val="24"/>
                <w:szCs w:val="24"/>
                <w:lang w:val="en-US"/>
              </w:rPr>
              <w:t xml:space="preserve">2.3, </w:t>
            </w:r>
            <w:r>
              <w:rPr>
                <w:color w:val="auto"/>
                <w:sz w:val="24"/>
                <w:szCs w:val="24"/>
              </w:rPr>
              <w:t>Tiêu chí</w:t>
            </w:r>
            <w:r>
              <w:rPr>
                <w:rFonts w:hint="default"/>
                <w:color w:val="auto"/>
                <w:sz w:val="24"/>
                <w:szCs w:val="24"/>
                <w:lang w:val="en-US"/>
              </w:rPr>
              <w:t xml:space="preserve"> </w:t>
            </w:r>
            <w:r>
              <w:rPr>
                <w:color w:val="auto"/>
                <w:sz w:val="24"/>
                <w:szCs w:val="24"/>
              </w:rPr>
              <w:t>5</w:t>
            </w:r>
            <w:r>
              <w:rPr>
                <w:rFonts w:hint="default"/>
                <w:color w:val="auto"/>
                <w:sz w:val="24"/>
                <w:szCs w:val="24"/>
                <w:lang w:val="en-US"/>
              </w:rPr>
              <w:t xml:space="preserve">, </w:t>
            </w:r>
            <w:r>
              <w:rPr>
                <w:color w:val="auto"/>
                <w:sz w:val="24"/>
                <w:szCs w:val="24"/>
              </w:rPr>
              <w:t>Tiêu chí</w:t>
            </w:r>
            <w:r>
              <w:rPr>
                <w:rFonts w:hint="default"/>
                <w:color w:val="auto"/>
                <w:sz w:val="24"/>
                <w:szCs w:val="24"/>
                <w:lang w:val="en-US"/>
              </w:rPr>
              <w:t xml:space="preserve"> 6</w:t>
            </w:r>
          </w:p>
        </w:tc>
        <w:tc>
          <w:tcPr>
            <w:tcW w:w="1308" w:type="dxa"/>
          </w:tcPr>
          <w:p w14:paraId="699F73AA">
            <w:pPr>
              <w:jc w:val="center"/>
              <w:rPr>
                <w:color w:val="auto"/>
                <w:sz w:val="24"/>
                <w:szCs w:val="24"/>
              </w:rPr>
            </w:pPr>
          </w:p>
        </w:tc>
        <w:tc>
          <w:tcPr>
            <w:tcW w:w="2410" w:type="dxa"/>
          </w:tcPr>
          <w:p w14:paraId="6A748CCB">
            <w:pPr>
              <w:ind w:firstLine="284"/>
              <w:jc w:val="both"/>
              <w:rPr>
                <w:color w:val="auto"/>
                <w:sz w:val="24"/>
                <w:szCs w:val="24"/>
              </w:rPr>
            </w:pPr>
            <w:r>
              <w:rPr>
                <w:color w:val="auto"/>
                <w:sz w:val="24"/>
                <w:szCs w:val="24"/>
              </w:rPr>
              <w:t xml:space="preserve">- Cần làm rõ, bổ sung thêm, phân tích cụ thể nội dung, quy định cần xử lý. </w:t>
            </w:r>
          </w:p>
          <w:p w14:paraId="2DAC5A46">
            <w:pPr>
              <w:ind w:firstLine="284"/>
              <w:jc w:val="both"/>
              <w:rPr>
                <w:color w:val="auto"/>
                <w:sz w:val="24"/>
                <w:szCs w:val="24"/>
              </w:rPr>
            </w:pPr>
            <w:r>
              <w:rPr>
                <w:color w:val="auto"/>
                <w:sz w:val="24"/>
                <w:szCs w:val="24"/>
              </w:rPr>
              <w:t>- Cần làm rõ hình thức xử lý văn bản.</w:t>
            </w:r>
          </w:p>
        </w:tc>
      </w:tr>
      <w:tr w14:paraId="34ABF4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504" w:hRule="atLeast"/>
          <w:jc w:val="center"/>
        </w:trPr>
        <w:tc>
          <w:tcPr>
            <w:tcW w:w="704" w:type="dxa"/>
          </w:tcPr>
          <w:p w14:paraId="18A26A2F">
            <w:pPr>
              <w:numPr>
                <w:ilvl w:val="0"/>
                <w:numId w:val="3"/>
              </w:numPr>
              <w:tabs>
                <w:tab w:val="left" w:pos="425"/>
              </w:tabs>
              <w:jc w:val="center"/>
              <w:rPr>
                <w:color w:val="auto"/>
                <w:sz w:val="24"/>
                <w:szCs w:val="24"/>
              </w:rPr>
            </w:pPr>
          </w:p>
        </w:tc>
        <w:tc>
          <w:tcPr>
            <w:tcW w:w="1843" w:type="dxa"/>
          </w:tcPr>
          <w:p w14:paraId="34BD96CE">
            <w:pPr>
              <w:jc w:val="both"/>
              <w:rPr>
                <w:color w:val="auto"/>
                <w:sz w:val="24"/>
                <w:szCs w:val="24"/>
              </w:rPr>
            </w:pPr>
            <w:r>
              <w:rPr>
                <w:color w:val="auto"/>
                <w:sz w:val="24"/>
                <w:szCs w:val="24"/>
              </w:rPr>
              <w:t>Luật Chất lượng sản phẩm, hàng hóa năm 2007, đã được sửa đổi, bổ sung  năm 2025</w:t>
            </w:r>
          </w:p>
        </w:tc>
        <w:tc>
          <w:tcPr>
            <w:tcW w:w="1417" w:type="dxa"/>
          </w:tcPr>
          <w:p w14:paraId="31036120">
            <w:pPr>
              <w:tabs>
                <w:tab w:val="right" w:pos="8640"/>
              </w:tabs>
              <w:jc w:val="both"/>
              <w:rPr>
                <w:color w:val="auto"/>
                <w:sz w:val="24"/>
                <w:szCs w:val="24"/>
              </w:rPr>
            </w:pPr>
            <w:r>
              <w:rPr>
                <w:color w:val="auto"/>
                <w:sz w:val="24"/>
                <w:szCs w:val="24"/>
              </w:rPr>
              <w:t>Tình hình thực tiễn</w:t>
            </w:r>
          </w:p>
        </w:tc>
        <w:tc>
          <w:tcPr>
            <w:tcW w:w="4051" w:type="dxa"/>
          </w:tcPr>
          <w:p w14:paraId="3535D9A7">
            <w:pPr>
              <w:tabs>
                <w:tab w:val="left" w:pos="3826"/>
                <w:tab w:val="right" w:pos="8640"/>
              </w:tabs>
              <w:ind w:right="-49"/>
              <w:jc w:val="both"/>
              <w:rPr>
                <w:color w:val="auto"/>
                <w:sz w:val="24"/>
                <w:szCs w:val="24"/>
              </w:rPr>
            </w:pPr>
            <w:r>
              <w:rPr>
                <w:color w:val="auto"/>
                <w:sz w:val="24"/>
                <w:szCs w:val="24"/>
              </w:rPr>
              <w:t>- Tiêu chí phân loại rủi ro cần được lượng hóa và cập nhật linh hoạt; phương thức chuyển đổi từ danh mục sản phẩm, hàng hóa nhóm 2 sang danh mục rủi ro trung bình, rủi ro cao cần thống nhất giữa các bộ quản lý ngành, lĩnh vực; cơ chế phối hợp giữa cơ quan tiêu chuẩn, quy chuẩn kỹ thuật, hải quan, quản lý thị trường, cơ quan chuyên ngành và địa phương cần rõ trách nhiệm, dữ liệu và quy trình; việc thừa nhận, công nhận kết quả đánh giá sự phù hợp còn liên quan nhiều hệ thống pháp luật và điều ước quốc tế; cơ sở dữ liệu, truy xuất nguồn gốc, mã số mã vạch, cảnh báo và thu hồi sản phẩm chưa hình thành thành một chu trình quản lý số thống nhất.</w:t>
            </w:r>
          </w:p>
          <w:p w14:paraId="59706A05">
            <w:pPr>
              <w:tabs>
                <w:tab w:val="left" w:pos="3826"/>
                <w:tab w:val="right" w:pos="8640"/>
              </w:tabs>
              <w:ind w:right="-49"/>
              <w:jc w:val="both"/>
              <w:rPr>
                <w:color w:val="auto"/>
                <w:sz w:val="24"/>
                <w:szCs w:val="24"/>
              </w:rPr>
            </w:pPr>
            <w:r>
              <w:rPr>
                <w:color w:val="auto"/>
                <w:sz w:val="24"/>
                <w:szCs w:val="24"/>
              </w:rPr>
              <w:t>- Thực tiễn quản lý hàng hóa nhập khẩu, hàng hóa lưu thông trên thị trường và hàng hóa kinh doanh qua thương mại điện tử, nền tảng số, mạng xã hội, giao dịch xuyên biên giới đặt ra yêu cầu mới về trách nhiệm cung cấp thông tin chất lượng, kiểm soát nguồn gốc, cảnh báo rủi ro, thu hồi sản phẩm không an toàn và xử lý vi phạm. Nếu chỉ sửa đổi từng điều, từng nhóm vấn đề sẽ khó bao quát đầy đủ những mô hình kinh doanh mới, sản phẩm mới, dịch vụ gắn với sản phẩm, hàng hóa không tồn tại dưới dạng vật chất, sản phẩm công nghệ cao, hàng hóa có vòng đời ngắn và chuỗi cung ứng đa chủ thể.</w:t>
            </w:r>
          </w:p>
          <w:p w14:paraId="725A2FA3">
            <w:pPr>
              <w:tabs>
                <w:tab w:val="left" w:pos="3826"/>
                <w:tab w:val="right" w:pos="8640"/>
              </w:tabs>
              <w:ind w:right="-49"/>
              <w:jc w:val="both"/>
              <w:rPr>
                <w:color w:val="auto"/>
                <w:sz w:val="24"/>
                <w:szCs w:val="24"/>
              </w:rPr>
            </w:pPr>
            <w:r>
              <w:rPr>
                <w:color w:val="auto"/>
                <w:sz w:val="24"/>
                <w:szCs w:val="24"/>
              </w:rPr>
              <w:t>- Trong giai đoạn tới, yêu cầu về chất lượng sản phẩm, hàng hóa sẽ không chỉ được đánh giá theo tiêu chí an toàn, công dụng, tính năng kỹ thuật, mà còn gắn với tiêu chí xanh, bền vững, phát thải carbon, khả năng tái chế, vòng đời sản phẩm, trách nhiệm mở rộng của nhà sản xuất, truy xuất nguồn gốc nguyên liệu, minh bạch thông tin và tuân thủ tiêu chuẩn của thị trường xuất khẩu. Các thị trường lớn đang ngày càng sử dụng tiêu chuẩn kỹ thuật, tiêu chuẩn môi trường, tiêu chuẩn an toàn và yêu cầu minh bạch chuỗi cung ứng như điều kiện tiếp cận thị trường. Nếu pháp luật về chất lượng sản phẩm, hàng hóa không được thiết kế lại theo hướng hiện đại, thống nhất và có khả năng dự báo, doanh nghiệp Việt Nam có thể gặp khó khăn trong đáp ứng yêu cầu của thị trường quốc tế; cơ quan quản lý nhà nước cũng có thể lúngúng trong quản lý sản phẩm mới, hàng hóa mới, mô hình kinh doanh mới, hàng hóa lưu thông xuyên biên giới và rủi ro phát sinh trên môi trường số.</w:t>
            </w:r>
          </w:p>
          <w:p w14:paraId="3CFF0E05">
            <w:pPr>
              <w:tabs>
                <w:tab w:val="left" w:pos="3826"/>
                <w:tab w:val="right" w:pos="8640"/>
              </w:tabs>
              <w:ind w:right="-49"/>
              <w:jc w:val="both"/>
              <w:rPr>
                <w:color w:val="auto"/>
                <w:sz w:val="24"/>
                <w:szCs w:val="24"/>
              </w:rPr>
            </w:pPr>
            <w:r>
              <w:rPr>
                <w:color w:val="auto"/>
                <w:sz w:val="24"/>
                <w:szCs w:val="24"/>
              </w:rPr>
              <w:t>- Việc sửa đổi, hoàn thiện pháp luật về tiêu chuẩn và quy chuẩn kỹ thuật đã được đặt ra, nhằm đổi mới nền tảng kỹ thuật cho hoạt động quản lý chất lượng, thúc đẩy đổi mới sáng tạo, nâng cao năng lực cạnh tranh và đáp ứng yêu cầu hội nhập. Tuy nhiên, tiêu chuẩn, quy chuẩn kỹ thuật và chất lượng sản phẩm, hàng hóa là hai lĩnh vực có quan hệ hữu cơ, tạo thành một chuỗi quản lý thống nhất từ khâu xây dựng, ban hành tiêu chuẩn, quy chuẩn kỹ thuật; công bố tiêu chuẩn áp dụng, công bố hợp quy; đánh giá sự phù hợp; kiểm tra chất lượng; hậu kiểm; truy xuất nguồn gốc; cảnh báo, thu hồi và xử lý sản phẩm, hàng hóa không phù hợp. Do đó, khi Luật Tiêu chuẩn và Quy chuẩn kỹ thuật đã được sửa đổi, bổ sung theo hướng đổi mới phương thức quản lý, tăng cường phân cấp, phân quyền, ứng dụng công nghệ số, thúc đẩy xã hội hóa và hài hòa với thông lệ quốc tế, thì Luật Chất lượng sản phẩm, hàng hóa cũng cần được rà soát, sửa đổi đồng bộ để bảo đảm tính liên thông của toàn bộ hệ thống pháp luật về hạ tầng chất lượng quốc gia.</w:t>
            </w:r>
          </w:p>
        </w:tc>
        <w:tc>
          <w:tcPr>
            <w:tcW w:w="1394" w:type="dxa"/>
          </w:tcPr>
          <w:p w14:paraId="724EC02D">
            <w:pPr>
              <w:tabs>
                <w:tab w:val="right" w:pos="8640"/>
              </w:tabs>
              <w:spacing w:before="40" w:after="40"/>
              <w:ind w:right="57"/>
              <w:jc w:val="both"/>
              <w:rPr>
                <w:rFonts w:hint="default"/>
                <w:color w:val="auto"/>
                <w:sz w:val="24"/>
                <w:szCs w:val="24"/>
                <w:lang w:val="en-US"/>
              </w:rPr>
            </w:pPr>
            <w:r>
              <w:rPr>
                <w:rFonts w:hint="default"/>
                <w:color w:val="auto"/>
                <w:sz w:val="24"/>
                <w:szCs w:val="24"/>
                <w:lang w:val="en-US"/>
              </w:rPr>
              <w:t>Sửa đổi, bổ sung</w:t>
            </w:r>
          </w:p>
        </w:tc>
        <w:tc>
          <w:tcPr>
            <w:tcW w:w="1275" w:type="dxa"/>
          </w:tcPr>
          <w:p w14:paraId="45E628AD">
            <w:pPr>
              <w:jc w:val="center"/>
              <w:rPr>
                <w:color w:val="auto"/>
                <w:sz w:val="24"/>
                <w:szCs w:val="24"/>
              </w:rPr>
            </w:pPr>
            <w:r>
              <w:rPr>
                <w:rFonts w:hint="default"/>
                <w:color w:val="auto"/>
                <w:sz w:val="24"/>
                <w:szCs w:val="24"/>
                <w:lang w:val="en-US"/>
              </w:rPr>
              <w:t>Tháng 12/</w:t>
            </w:r>
            <w:r>
              <w:rPr>
                <w:color w:val="auto"/>
                <w:sz w:val="24"/>
                <w:szCs w:val="24"/>
              </w:rPr>
              <w:t>2027</w:t>
            </w:r>
          </w:p>
        </w:tc>
        <w:tc>
          <w:tcPr>
            <w:tcW w:w="1245" w:type="dxa"/>
          </w:tcPr>
          <w:p w14:paraId="3BF3B1B6">
            <w:pPr>
              <w:jc w:val="center"/>
              <w:rPr>
                <w:rFonts w:hint="default"/>
                <w:color w:val="auto"/>
                <w:sz w:val="24"/>
                <w:szCs w:val="24"/>
                <w:lang w:val="en-US"/>
              </w:rPr>
            </w:pPr>
            <w:r>
              <w:rPr>
                <w:color w:val="auto"/>
                <w:sz w:val="24"/>
                <w:szCs w:val="24"/>
              </w:rPr>
              <w:t xml:space="preserve">Tiêu chí  </w:t>
            </w:r>
            <w:r>
              <w:rPr>
                <w:rFonts w:hint="default"/>
                <w:color w:val="auto"/>
                <w:sz w:val="24"/>
                <w:szCs w:val="24"/>
                <w:lang w:val="en-US"/>
              </w:rPr>
              <w:t xml:space="preserve">2.3, </w:t>
            </w:r>
            <w:r>
              <w:rPr>
                <w:color w:val="auto"/>
                <w:sz w:val="24"/>
                <w:szCs w:val="24"/>
              </w:rPr>
              <w:t>Tiêu chí 5</w:t>
            </w:r>
            <w:r>
              <w:rPr>
                <w:rFonts w:hint="default"/>
                <w:color w:val="auto"/>
                <w:sz w:val="24"/>
                <w:szCs w:val="24"/>
                <w:lang w:val="en-US"/>
              </w:rPr>
              <w:t xml:space="preserve">, </w:t>
            </w:r>
            <w:r>
              <w:rPr>
                <w:color w:val="auto"/>
                <w:sz w:val="24"/>
                <w:szCs w:val="24"/>
              </w:rPr>
              <w:t xml:space="preserve">Tiêu chí </w:t>
            </w:r>
            <w:r>
              <w:rPr>
                <w:rFonts w:hint="default"/>
                <w:color w:val="auto"/>
                <w:sz w:val="24"/>
                <w:szCs w:val="24"/>
                <w:lang w:val="en-US"/>
              </w:rPr>
              <w:t>6</w:t>
            </w:r>
          </w:p>
        </w:tc>
        <w:tc>
          <w:tcPr>
            <w:tcW w:w="1308" w:type="dxa"/>
          </w:tcPr>
          <w:p w14:paraId="77DD0DB3">
            <w:pPr>
              <w:jc w:val="center"/>
              <w:rPr>
                <w:color w:val="auto"/>
                <w:sz w:val="24"/>
                <w:szCs w:val="24"/>
              </w:rPr>
            </w:pPr>
            <w:r>
              <w:rPr>
                <w:color w:val="auto"/>
                <w:sz w:val="24"/>
                <w:szCs w:val="24"/>
              </w:rPr>
              <w:t xml:space="preserve"> </w:t>
            </w:r>
          </w:p>
        </w:tc>
        <w:tc>
          <w:tcPr>
            <w:tcW w:w="2410" w:type="dxa"/>
          </w:tcPr>
          <w:p w14:paraId="349116CE">
            <w:pPr>
              <w:ind w:firstLine="284"/>
              <w:jc w:val="both"/>
              <w:rPr>
                <w:color w:val="auto"/>
                <w:sz w:val="24"/>
                <w:szCs w:val="24"/>
              </w:rPr>
            </w:pPr>
            <w:r>
              <w:rPr>
                <w:color w:val="auto"/>
                <w:sz w:val="24"/>
                <w:szCs w:val="24"/>
              </w:rPr>
              <w:t xml:space="preserve">- Cần làm rõ, bổ sung thêm, phân tích cụ thể nội dung, quy định cần xử lý. </w:t>
            </w:r>
          </w:p>
          <w:p w14:paraId="0BED3C33">
            <w:pPr>
              <w:ind w:firstLine="284"/>
              <w:jc w:val="both"/>
              <w:rPr>
                <w:color w:val="auto"/>
                <w:sz w:val="24"/>
                <w:szCs w:val="24"/>
              </w:rPr>
            </w:pPr>
            <w:r>
              <w:rPr>
                <w:color w:val="auto"/>
                <w:sz w:val="24"/>
                <w:szCs w:val="24"/>
              </w:rPr>
              <w:t>- Cần làm rõ hình thức xử lý văn bản.</w:t>
            </w:r>
          </w:p>
        </w:tc>
      </w:tr>
      <w:tr w14:paraId="5C6090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1" w:hRule="atLeast"/>
          <w:jc w:val="center"/>
        </w:trPr>
        <w:tc>
          <w:tcPr>
            <w:tcW w:w="704" w:type="dxa"/>
          </w:tcPr>
          <w:p w14:paraId="634C2C45">
            <w:pPr>
              <w:numPr>
                <w:ilvl w:val="0"/>
                <w:numId w:val="3"/>
              </w:numPr>
              <w:tabs>
                <w:tab w:val="left" w:pos="425"/>
              </w:tabs>
              <w:jc w:val="center"/>
              <w:rPr>
                <w:color w:val="auto"/>
                <w:sz w:val="24"/>
                <w:szCs w:val="24"/>
              </w:rPr>
            </w:pPr>
          </w:p>
        </w:tc>
        <w:tc>
          <w:tcPr>
            <w:tcW w:w="1843" w:type="dxa"/>
          </w:tcPr>
          <w:p w14:paraId="133BAC98">
            <w:pPr>
              <w:jc w:val="both"/>
              <w:rPr>
                <w:color w:val="auto"/>
                <w:sz w:val="24"/>
                <w:szCs w:val="24"/>
              </w:rPr>
            </w:pPr>
            <w:r>
              <w:rPr>
                <w:color w:val="auto"/>
                <w:sz w:val="24"/>
                <w:szCs w:val="24"/>
              </w:rPr>
              <w:t>Nghị định số</w:t>
            </w:r>
          </w:p>
          <w:p w14:paraId="19E55F1A">
            <w:pPr>
              <w:jc w:val="both"/>
              <w:rPr>
                <w:color w:val="auto"/>
                <w:sz w:val="24"/>
                <w:szCs w:val="24"/>
              </w:rPr>
            </w:pPr>
            <w:r>
              <w:rPr>
                <w:color w:val="auto"/>
                <w:sz w:val="24"/>
                <w:szCs w:val="24"/>
              </w:rPr>
              <w:t xml:space="preserve">86/2012/NĐ-CP ngày 19/10/2012 quy định chi tiết và hướng dẫn thi hành một số điều của Luật đo lường </w:t>
            </w:r>
          </w:p>
        </w:tc>
        <w:tc>
          <w:tcPr>
            <w:tcW w:w="1417" w:type="dxa"/>
          </w:tcPr>
          <w:p w14:paraId="659E8C95">
            <w:pPr>
              <w:tabs>
                <w:tab w:val="right" w:pos="8640"/>
              </w:tabs>
              <w:jc w:val="both"/>
              <w:rPr>
                <w:color w:val="auto"/>
                <w:sz w:val="24"/>
                <w:szCs w:val="24"/>
              </w:rPr>
            </w:pPr>
            <w:r>
              <w:rPr>
                <w:color w:val="auto"/>
                <w:sz w:val="24"/>
                <w:szCs w:val="24"/>
              </w:rPr>
              <w:t>Điều 1, Điều 2</w:t>
            </w:r>
          </w:p>
          <w:p w14:paraId="691F5E71">
            <w:pPr>
              <w:tabs>
                <w:tab w:val="right" w:pos="8640"/>
              </w:tabs>
              <w:jc w:val="both"/>
              <w:rPr>
                <w:color w:val="auto"/>
                <w:sz w:val="24"/>
                <w:szCs w:val="24"/>
              </w:rPr>
            </w:pPr>
            <w:r>
              <w:rPr>
                <w:color w:val="auto"/>
                <w:sz w:val="24"/>
                <w:szCs w:val="24"/>
              </w:rPr>
              <w:t>Luật Tổ chức chính</w:t>
            </w:r>
          </w:p>
          <w:p w14:paraId="4C026E4A">
            <w:pPr>
              <w:tabs>
                <w:tab w:val="right" w:pos="8640"/>
              </w:tabs>
              <w:jc w:val="both"/>
              <w:rPr>
                <w:color w:val="auto"/>
                <w:sz w:val="24"/>
                <w:szCs w:val="24"/>
              </w:rPr>
            </w:pPr>
            <w:r>
              <w:rPr>
                <w:color w:val="auto"/>
                <w:sz w:val="24"/>
                <w:szCs w:val="24"/>
              </w:rPr>
              <w:t>quyền địa phương ngày 16/06/2025:</w:t>
            </w:r>
          </w:p>
          <w:p w14:paraId="5D0FD0E0">
            <w:pPr>
              <w:tabs>
                <w:tab w:val="right" w:pos="8640"/>
              </w:tabs>
              <w:jc w:val="both"/>
              <w:rPr>
                <w:color w:val="auto"/>
                <w:sz w:val="24"/>
                <w:szCs w:val="24"/>
              </w:rPr>
            </w:pPr>
            <w:r>
              <w:rPr>
                <w:color w:val="auto"/>
                <w:sz w:val="24"/>
                <w:szCs w:val="24"/>
              </w:rPr>
              <w:t>Không còn tổ chức chính quyền địa phương là UBND cấp huyện và thực hiện tổ chức lại UBND cấp xã</w:t>
            </w:r>
          </w:p>
        </w:tc>
        <w:tc>
          <w:tcPr>
            <w:tcW w:w="4051" w:type="dxa"/>
          </w:tcPr>
          <w:p w14:paraId="4B7B2A2A">
            <w:pPr>
              <w:tabs>
                <w:tab w:val="left" w:pos="3826"/>
                <w:tab w:val="right" w:pos="8640"/>
              </w:tabs>
              <w:ind w:right="-49"/>
              <w:jc w:val="both"/>
              <w:rPr>
                <w:color w:val="auto"/>
                <w:sz w:val="24"/>
                <w:szCs w:val="24"/>
              </w:rPr>
            </w:pPr>
            <w:r>
              <w:rPr>
                <w:color w:val="auto"/>
                <w:sz w:val="24"/>
                <w:szCs w:val="24"/>
              </w:rPr>
              <w:t>Khoản 4, Khoản 5 Nghị định 86/2012/NĐ-CP Quy định về cấp huyện không còn phù hợp với mô hình chính quyền địa phương 2 cấp và yêu cầu phân định rõ thẩm quyền hiện nay.</w:t>
            </w:r>
          </w:p>
          <w:p w14:paraId="2C82E82D">
            <w:pPr>
              <w:tabs>
                <w:tab w:val="left" w:pos="3826"/>
                <w:tab w:val="right" w:pos="8640"/>
              </w:tabs>
              <w:ind w:right="-49"/>
              <w:jc w:val="both"/>
              <w:rPr>
                <w:color w:val="auto"/>
                <w:sz w:val="24"/>
                <w:szCs w:val="24"/>
              </w:rPr>
            </w:pPr>
            <w:r>
              <w:rPr>
                <w:color w:val="auto"/>
                <w:sz w:val="24"/>
                <w:szCs w:val="24"/>
              </w:rPr>
              <w:t>Đã phân định thẩm quyền cho cấp xã tại Nghị định số 132/2025/NĐ-CP ngày 12/6/2025</w:t>
            </w:r>
          </w:p>
        </w:tc>
        <w:tc>
          <w:tcPr>
            <w:tcW w:w="1394" w:type="dxa"/>
          </w:tcPr>
          <w:p w14:paraId="5CBB11A8">
            <w:pPr>
              <w:tabs>
                <w:tab w:val="right" w:pos="8640"/>
              </w:tabs>
              <w:spacing w:before="40" w:after="40"/>
              <w:ind w:right="57"/>
              <w:jc w:val="both"/>
              <w:rPr>
                <w:color w:val="auto"/>
                <w:sz w:val="24"/>
                <w:szCs w:val="24"/>
              </w:rPr>
            </w:pPr>
            <w:r>
              <w:rPr>
                <w:color w:val="auto"/>
                <w:sz w:val="24"/>
                <w:szCs w:val="24"/>
              </w:rPr>
              <w:t>Nghị định thay thế</w:t>
            </w:r>
          </w:p>
        </w:tc>
        <w:tc>
          <w:tcPr>
            <w:tcW w:w="1275" w:type="dxa"/>
          </w:tcPr>
          <w:p w14:paraId="653C141F">
            <w:pPr>
              <w:jc w:val="center"/>
              <w:rPr>
                <w:color w:val="auto"/>
                <w:sz w:val="24"/>
                <w:szCs w:val="24"/>
              </w:rPr>
            </w:pPr>
            <w:r>
              <w:rPr>
                <w:color w:val="auto"/>
                <w:sz w:val="24"/>
                <w:szCs w:val="24"/>
              </w:rPr>
              <w:t>Tháng 3/2027</w:t>
            </w:r>
          </w:p>
        </w:tc>
        <w:tc>
          <w:tcPr>
            <w:tcW w:w="1245" w:type="dxa"/>
          </w:tcPr>
          <w:p w14:paraId="4338F3BD">
            <w:pPr>
              <w:jc w:val="center"/>
              <w:rPr>
                <w:rFonts w:hint="default"/>
                <w:color w:val="auto"/>
                <w:sz w:val="24"/>
                <w:szCs w:val="24"/>
                <w:lang w:val="en-US"/>
              </w:rPr>
            </w:pPr>
            <w:r>
              <w:rPr>
                <w:color w:val="auto"/>
                <w:sz w:val="24"/>
                <w:szCs w:val="24"/>
              </w:rPr>
              <w:t>Tiêu chí 2</w:t>
            </w:r>
            <w:r>
              <w:rPr>
                <w:rFonts w:hint="default"/>
                <w:color w:val="auto"/>
                <w:sz w:val="24"/>
                <w:szCs w:val="24"/>
                <w:lang w:val="en-US"/>
              </w:rPr>
              <w:t>.3, Tiêu chí 5</w:t>
            </w:r>
          </w:p>
        </w:tc>
        <w:tc>
          <w:tcPr>
            <w:tcW w:w="1308" w:type="dxa"/>
          </w:tcPr>
          <w:p w14:paraId="6C4DBBC2">
            <w:pPr>
              <w:ind w:left="100" w:right="100"/>
              <w:jc w:val="both"/>
              <w:rPr>
                <w:color w:val="auto"/>
                <w:sz w:val="24"/>
                <w:szCs w:val="24"/>
              </w:rPr>
            </w:pPr>
          </w:p>
        </w:tc>
        <w:tc>
          <w:tcPr>
            <w:tcW w:w="2410" w:type="dxa"/>
          </w:tcPr>
          <w:p w14:paraId="3E3AF443">
            <w:pPr>
              <w:spacing w:before="120" w:after="120" w:line="340" w:lineRule="exact"/>
              <w:ind w:firstLine="284"/>
              <w:jc w:val="both"/>
              <w:rPr>
                <w:color w:val="auto"/>
                <w:sz w:val="24"/>
                <w:szCs w:val="24"/>
              </w:rPr>
            </w:pPr>
            <w:r>
              <w:rPr>
                <w:color w:val="auto"/>
                <w:sz w:val="24"/>
                <w:szCs w:val="24"/>
              </w:rPr>
              <w:t>- Nhất trí</w:t>
            </w:r>
          </w:p>
          <w:p w14:paraId="6366575B">
            <w:pPr>
              <w:spacing w:before="120" w:after="120" w:line="340" w:lineRule="exact"/>
              <w:ind w:firstLine="284"/>
              <w:jc w:val="both"/>
              <w:rPr>
                <w:color w:val="auto"/>
                <w:sz w:val="24"/>
                <w:szCs w:val="24"/>
                <w:shd w:val="clear" w:color="auto" w:fill="FFFFFF"/>
                <w:lang w:val="nl-NL"/>
              </w:rPr>
            </w:pPr>
            <w:r>
              <w:rPr>
                <w:color w:val="auto"/>
                <w:sz w:val="24"/>
                <w:szCs w:val="24"/>
              </w:rPr>
              <w:t>- Đề nghị bỏ nội dung tại Cột 8, theo Mẫu số 04-BN ban hành kèm theo Hướng dẫn số 06/HD-BCĐ thì</w:t>
            </w:r>
            <w:r>
              <w:rPr>
                <w:i/>
                <w:iCs/>
                <w:color w:val="auto"/>
                <w:sz w:val="24"/>
                <w:szCs w:val="24"/>
              </w:rPr>
              <w:t xml:space="preserve"> Cột (8)</w:t>
            </w:r>
            <w:r>
              <w:rPr>
                <w:color w:val="auto"/>
                <w:sz w:val="24"/>
                <w:szCs w:val="24"/>
              </w:rPr>
              <w:t xml:space="preserve">: Điền hình thức xử lý đối với </w:t>
            </w:r>
            <w:r>
              <w:rPr>
                <w:color w:val="auto"/>
                <w:sz w:val="24"/>
                <w:szCs w:val="24"/>
                <w:u w:val="single"/>
              </w:rPr>
              <w:t>nội dung, quy định</w:t>
            </w:r>
            <w:r>
              <w:rPr>
                <w:color w:val="auto"/>
                <w:sz w:val="24"/>
                <w:szCs w:val="24"/>
              </w:rPr>
              <w:t xml:space="preserve"> của văn bản nếu cần tạm ngưng hiệu lực một phần; </w:t>
            </w:r>
            <w:r>
              <w:rPr>
                <w:color w:val="auto"/>
                <w:sz w:val="24"/>
                <w:szCs w:val="24"/>
                <w:shd w:val="clear" w:color="auto" w:fill="FFFFFF"/>
                <w:lang w:val="nl-NL"/>
              </w:rPr>
              <w:t>giải thích (đối với luật, nghị quyết của Quốc hội, pháp lệnh, nghị quyết của Ủy ban Thường vụ Quốc hội); hướng dẫn áp dụng VBQPPL; cơ chế xử lý đặc biệt theo Nghị quyết số 206/2025/QH15 (cụ thể hình thức văn bản) (nếu có).</w:t>
            </w:r>
          </w:p>
        </w:tc>
      </w:tr>
      <w:tr w14:paraId="1B80CE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1" w:hRule="atLeast"/>
          <w:jc w:val="center"/>
        </w:trPr>
        <w:tc>
          <w:tcPr>
            <w:tcW w:w="704" w:type="dxa"/>
          </w:tcPr>
          <w:p w14:paraId="4BAC52FB">
            <w:pPr>
              <w:numPr>
                <w:ilvl w:val="0"/>
                <w:numId w:val="3"/>
              </w:numPr>
              <w:tabs>
                <w:tab w:val="left" w:pos="425"/>
              </w:tabs>
              <w:jc w:val="center"/>
              <w:rPr>
                <w:color w:val="auto"/>
                <w:sz w:val="24"/>
                <w:szCs w:val="24"/>
              </w:rPr>
            </w:pPr>
          </w:p>
        </w:tc>
        <w:tc>
          <w:tcPr>
            <w:tcW w:w="1843" w:type="dxa"/>
          </w:tcPr>
          <w:p w14:paraId="52B299B3">
            <w:pPr>
              <w:jc w:val="both"/>
              <w:rPr>
                <w:color w:val="auto"/>
                <w:sz w:val="24"/>
                <w:szCs w:val="24"/>
              </w:rPr>
            </w:pPr>
            <w:r>
              <w:rPr>
                <w:color w:val="auto"/>
                <w:sz w:val="24"/>
                <w:szCs w:val="24"/>
              </w:rPr>
              <w:t>Nghị định số 105/2016/NĐ-NP quy định về điều kiện hoạt động của tổ chức kiểm định, hiệu chuẩn, thử nghiệm phương tiện đo, chuẩn đo</w:t>
            </w:r>
          </w:p>
          <w:p w14:paraId="207BEE92">
            <w:pPr>
              <w:jc w:val="both"/>
              <w:rPr>
                <w:color w:val="auto"/>
                <w:sz w:val="24"/>
                <w:szCs w:val="24"/>
              </w:rPr>
            </w:pPr>
            <w:r>
              <w:rPr>
                <w:color w:val="auto"/>
                <w:sz w:val="24"/>
                <w:szCs w:val="24"/>
              </w:rPr>
              <w:t>lường (được sửa đổi, bổ sung bởi</w:t>
            </w:r>
          </w:p>
          <w:p w14:paraId="46BB1131">
            <w:pPr>
              <w:jc w:val="both"/>
              <w:rPr>
                <w:color w:val="auto"/>
                <w:sz w:val="24"/>
                <w:szCs w:val="24"/>
              </w:rPr>
            </w:pPr>
            <w:r>
              <w:rPr>
                <w:color w:val="auto"/>
                <w:sz w:val="24"/>
                <w:szCs w:val="24"/>
              </w:rPr>
              <w:t>Nghị định số 36/2026/NĐ-CP)</w:t>
            </w:r>
          </w:p>
        </w:tc>
        <w:tc>
          <w:tcPr>
            <w:tcW w:w="1417" w:type="dxa"/>
          </w:tcPr>
          <w:p w14:paraId="76EF6103">
            <w:pPr>
              <w:tabs>
                <w:tab w:val="right" w:pos="8640"/>
              </w:tabs>
              <w:jc w:val="both"/>
              <w:rPr>
                <w:color w:val="auto"/>
                <w:sz w:val="24"/>
                <w:szCs w:val="24"/>
              </w:rPr>
            </w:pPr>
            <w:r>
              <w:rPr>
                <w:color w:val="auto"/>
                <w:sz w:val="24"/>
                <w:szCs w:val="24"/>
              </w:rPr>
              <w:t>Nghị quyết</w:t>
            </w:r>
          </w:p>
          <w:p w14:paraId="351E3446">
            <w:pPr>
              <w:tabs>
                <w:tab w:val="right" w:pos="8640"/>
              </w:tabs>
              <w:jc w:val="both"/>
              <w:rPr>
                <w:rFonts w:hint="default"/>
                <w:color w:val="auto"/>
                <w:sz w:val="24"/>
                <w:szCs w:val="24"/>
                <w:lang w:val="en-US"/>
              </w:rPr>
            </w:pPr>
            <w:r>
              <w:rPr>
                <w:color w:val="auto"/>
                <w:sz w:val="24"/>
                <w:szCs w:val="24"/>
              </w:rPr>
              <w:t>66.18/2026/NQ-CP</w:t>
            </w:r>
            <w:r>
              <w:rPr>
                <w:rFonts w:hint="default"/>
                <w:color w:val="auto"/>
                <w:sz w:val="24"/>
                <w:szCs w:val="24"/>
                <w:lang w:val="en-US"/>
              </w:rPr>
              <w:t xml:space="preserve"> </w:t>
            </w:r>
            <w:r>
              <w:rPr>
                <w:color w:val="auto"/>
                <w:sz w:val="24"/>
                <w:szCs w:val="24"/>
              </w:rPr>
              <w:t>ngày 18/5/2026 về phân quyền, cắt giảm, đơn giản hóa Thủ tục hành chính, điều kiện kinh doanh</w:t>
            </w:r>
          </w:p>
          <w:p w14:paraId="27F56AEA">
            <w:pPr>
              <w:tabs>
                <w:tab w:val="right" w:pos="8640"/>
              </w:tabs>
              <w:jc w:val="both"/>
              <w:rPr>
                <w:color w:val="auto"/>
                <w:sz w:val="24"/>
                <w:szCs w:val="24"/>
              </w:rPr>
            </w:pPr>
            <w:r>
              <w:rPr>
                <w:color w:val="auto"/>
                <w:sz w:val="24"/>
                <w:szCs w:val="24"/>
              </w:rPr>
              <w:t>Luật Đầu tư số 143/2025/QH15</w:t>
            </w:r>
          </w:p>
        </w:tc>
        <w:tc>
          <w:tcPr>
            <w:tcW w:w="4051" w:type="dxa"/>
          </w:tcPr>
          <w:p w14:paraId="025AB153">
            <w:pPr>
              <w:tabs>
                <w:tab w:val="left" w:pos="3826"/>
                <w:tab w:val="right" w:pos="8640"/>
              </w:tabs>
              <w:ind w:right="-49"/>
              <w:jc w:val="both"/>
              <w:rPr>
                <w:color w:val="auto"/>
                <w:sz w:val="24"/>
                <w:szCs w:val="24"/>
              </w:rPr>
            </w:pPr>
            <w:r>
              <w:rPr>
                <w:color w:val="auto"/>
                <w:sz w:val="24"/>
                <w:szCs w:val="24"/>
              </w:rPr>
              <w:t>Quy định về cấp, cấp lại, hủy bỏ Giấy chứng nhận đăng ký cung cấp dịch vụ kiểm định, hiệu chuẩn, thử nghiệm phương tiện đo nhóm 1, chuẩn đo lường không dùng trực tiếp để kiểm định phương tiện đo nhóm 2 không còn phù hợp Luật Đầu tư số 143/2025/Q H15</w:t>
            </w:r>
          </w:p>
        </w:tc>
        <w:tc>
          <w:tcPr>
            <w:tcW w:w="1394" w:type="dxa"/>
          </w:tcPr>
          <w:p w14:paraId="688D2474">
            <w:pPr>
              <w:tabs>
                <w:tab w:val="right" w:pos="8640"/>
              </w:tabs>
              <w:spacing w:before="40" w:after="40"/>
              <w:ind w:right="57"/>
              <w:jc w:val="both"/>
              <w:rPr>
                <w:color w:val="auto"/>
                <w:sz w:val="24"/>
                <w:szCs w:val="24"/>
              </w:rPr>
            </w:pPr>
            <w:r>
              <w:rPr>
                <w:color w:val="auto"/>
                <w:sz w:val="24"/>
                <w:szCs w:val="24"/>
              </w:rPr>
              <w:t>Nghị định thay thế</w:t>
            </w:r>
          </w:p>
        </w:tc>
        <w:tc>
          <w:tcPr>
            <w:tcW w:w="1275" w:type="dxa"/>
          </w:tcPr>
          <w:p w14:paraId="705E24ED">
            <w:pPr>
              <w:jc w:val="center"/>
              <w:rPr>
                <w:color w:val="auto"/>
                <w:sz w:val="24"/>
                <w:szCs w:val="24"/>
              </w:rPr>
            </w:pPr>
            <w:r>
              <w:rPr>
                <w:rFonts w:hint="default"/>
                <w:color w:val="auto"/>
                <w:sz w:val="24"/>
                <w:szCs w:val="24"/>
                <w:lang w:val="en-US"/>
              </w:rPr>
              <w:t xml:space="preserve">Tháng </w:t>
            </w:r>
            <w:r>
              <w:rPr>
                <w:color w:val="auto"/>
                <w:sz w:val="24"/>
                <w:szCs w:val="24"/>
              </w:rPr>
              <w:t>3/2027</w:t>
            </w:r>
          </w:p>
        </w:tc>
        <w:tc>
          <w:tcPr>
            <w:tcW w:w="1245" w:type="dxa"/>
          </w:tcPr>
          <w:p w14:paraId="7A6713F1">
            <w:pPr>
              <w:jc w:val="center"/>
              <w:rPr>
                <w:rFonts w:hint="default"/>
                <w:color w:val="auto"/>
                <w:sz w:val="24"/>
                <w:szCs w:val="24"/>
                <w:lang w:val="en-US"/>
              </w:rPr>
            </w:pPr>
            <w:r>
              <w:rPr>
                <w:color w:val="auto"/>
                <w:sz w:val="24"/>
                <w:szCs w:val="24"/>
              </w:rPr>
              <w:t>Tiêu chí 2</w:t>
            </w:r>
            <w:r>
              <w:rPr>
                <w:rFonts w:hint="default"/>
                <w:color w:val="auto"/>
                <w:sz w:val="24"/>
                <w:szCs w:val="24"/>
                <w:lang w:val="en-US"/>
              </w:rPr>
              <w:t xml:space="preserve">.3, </w:t>
            </w:r>
            <w:r>
              <w:rPr>
                <w:color w:val="auto"/>
                <w:sz w:val="24"/>
                <w:szCs w:val="24"/>
              </w:rPr>
              <w:t>Tiêu chí</w:t>
            </w:r>
            <w:r>
              <w:rPr>
                <w:rFonts w:hint="default"/>
                <w:color w:val="auto"/>
                <w:sz w:val="24"/>
                <w:szCs w:val="24"/>
                <w:lang w:val="en-US"/>
              </w:rPr>
              <w:t xml:space="preserve"> 4, </w:t>
            </w:r>
            <w:r>
              <w:rPr>
                <w:color w:val="auto"/>
                <w:sz w:val="24"/>
                <w:szCs w:val="24"/>
              </w:rPr>
              <w:t>Tiêu chí</w:t>
            </w:r>
            <w:r>
              <w:rPr>
                <w:rFonts w:hint="default"/>
                <w:color w:val="auto"/>
                <w:sz w:val="24"/>
                <w:szCs w:val="24"/>
                <w:lang w:val="en-US"/>
              </w:rPr>
              <w:t xml:space="preserve"> 5</w:t>
            </w:r>
          </w:p>
        </w:tc>
        <w:tc>
          <w:tcPr>
            <w:tcW w:w="1308" w:type="dxa"/>
          </w:tcPr>
          <w:p w14:paraId="42F1BFC0">
            <w:pPr>
              <w:ind w:left="100" w:right="100"/>
              <w:jc w:val="both"/>
              <w:rPr>
                <w:color w:val="auto"/>
                <w:sz w:val="24"/>
                <w:szCs w:val="24"/>
              </w:rPr>
            </w:pPr>
            <w:r>
              <w:rPr>
                <w:rFonts w:hint="default"/>
                <w:color w:val="auto"/>
                <w:sz w:val="24"/>
                <w:szCs w:val="24"/>
                <w:lang w:val="en-US"/>
              </w:rPr>
              <w:t xml:space="preserve"> </w:t>
            </w:r>
          </w:p>
        </w:tc>
        <w:tc>
          <w:tcPr>
            <w:tcW w:w="2410" w:type="dxa"/>
          </w:tcPr>
          <w:p w14:paraId="7507293A">
            <w:pPr>
              <w:spacing w:before="120"/>
              <w:ind w:left="100" w:right="100" w:firstLine="284"/>
              <w:jc w:val="both"/>
              <w:rPr>
                <w:color w:val="auto"/>
                <w:sz w:val="24"/>
                <w:szCs w:val="24"/>
              </w:rPr>
            </w:pPr>
            <w:r>
              <w:rPr>
                <w:color w:val="auto"/>
                <w:sz w:val="24"/>
                <w:szCs w:val="24"/>
              </w:rPr>
              <w:t>- Nhất trí</w:t>
            </w:r>
          </w:p>
          <w:p w14:paraId="1CD8483E">
            <w:pPr>
              <w:spacing w:before="120"/>
              <w:ind w:left="100" w:right="100" w:firstLine="284"/>
              <w:jc w:val="both"/>
              <w:rPr>
                <w:color w:val="auto"/>
                <w:sz w:val="24"/>
                <w:szCs w:val="24"/>
              </w:rPr>
            </w:pPr>
            <w:r>
              <w:rPr>
                <w:color w:val="auto"/>
                <w:sz w:val="24"/>
                <w:szCs w:val="24"/>
              </w:rPr>
              <w:t>- Chỉnh lý tên văn bản làm căn cứ rà soát cho đầy đủ.</w:t>
            </w:r>
          </w:p>
          <w:p w14:paraId="7659AE08">
            <w:pPr>
              <w:spacing w:before="120"/>
              <w:ind w:left="100" w:right="100" w:firstLine="284"/>
              <w:jc w:val="both"/>
              <w:rPr>
                <w:color w:val="auto"/>
                <w:sz w:val="24"/>
                <w:szCs w:val="24"/>
              </w:rPr>
            </w:pPr>
            <w:r>
              <w:rPr>
                <w:color w:val="auto"/>
                <w:sz w:val="24"/>
                <w:szCs w:val="24"/>
              </w:rPr>
              <w:t>- Đề nghị bỏ nội dung tại Cột 8, theo Mẫu số 04-BN ban hành kèm theo Hướng dẫn số 06/HD-BCĐ thì</w:t>
            </w:r>
            <w:r>
              <w:rPr>
                <w:i/>
                <w:iCs/>
                <w:color w:val="auto"/>
                <w:sz w:val="24"/>
                <w:szCs w:val="24"/>
              </w:rPr>
              <w:t xml:space="preserve"> Cột (8)</w:t>
            </w:r>
            <w:r>
              <w:rPr>
                <w:color w:val="auto"/>
                <w:sz w:val="24"/>
                <w:szCs w:val="24"/>
              </w:rPr>
              <w:t xml:space="preserve">: Điền hình thức xử lý đối với </w:t>
            </w:r>
            <w:r>
              <w:rPr>
                <w:color w:val="auto"/>
                <w:sz w:val="24"/>
                <w:szCs w:val="24"/>
                <w:u w:val="single"/>
              </w:rPr>
              <w:t>nội dung, quy định</w:t>
            </w:r>
            <w:r>
              <w:rPr>
                <w:color w:val="auto"/>
                <w:sz w:val="24"/>
                <w:szCs w:val="24"/>
              </w:rPr>
              <w:t xml:space="preserve"> của văn bản nếu cần tạm ngưng hiệu lực một phần; </w:t>
            </w:r>
            <w:r>
              <w:rPr>
                <w:color w:val="auto"/>
                <w:sz w:val="24"/>
                <w:szCs w:val="24"/>
                <w:shd w:val="clear" w:color="auto" w:fill="FFFFFF"/>
                <w:lang w:val="nl-NL"/>
              </w:rPr>
              <w:t>giải thích (đối với luật, nghị quyết của Quốc hội, pháp lệnh, nghị quyết của Ủy ban Thường vụ Quốc hội); hướng dẫn áp dụng VBQPPL; cơ chế xử lý đặc biệt theo Nghị quyết số 206/2025/QH15 (cụ thể hình thức văn bản) (nếu có).</w:t>
            </w:r>
          </w:p>
        </w:tc>
      </w:tr>
      <w:tr w14:paraId="7D2874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04" w:type="dxa"/>
          </w:tcPr>
          <w:p w14:paraId="13833814">
            <w:pPr>
              <w:numPr>
                <w:ilvl w:val="0"/>
                <w:numId w:val="3"/>
              </w:numPr>
              <w:tabs>
                <w:tab w:val="left" w:pos="425"/>
              </w:tabs>
              <w:jc w:val="center"/>
              <w:rPr>
                <w:color w:val="auto"/>
                <w:sz w:val="24"/>
                <w:szCs w:val="24"/>
              </w:rPr>
            </w:pPr>
          </w:p>
        </w:tc>
        <w:tc>
          <w:tcPr>
            <w:tcW w:w="1843" w:type="dxa"/>
          </w:tcPr>
          <w:p w14:paraId="5C383496">
            <w:pPr>
              <w:tabs>
                <w:tab w:val="right" w:pos="8640"/>
              </w:tabs>
              <w:jc w:val="both"/>
              <w:rPr>
                <w:color w:val="auto"/>
                <w:sz w:val="24"/>
                <w:szCs w:val="24"/>
              </w:rPr>
            </w:pPr>
            <w:r>
              <w:rPr>
                <w:color w:val="auto"/>
                <w:sz w:val="24"/>
                <w:szCs w:val="24"/>
              </w:rPr>
              <w:t>Nghị định số 119/2017/NĐ-CP ngày 01 tháng 11 năm 2017 của Chính phủ quy định về xử phạt vi phạm hành chính trong lĩnh vực tiêu chuẩn, đo lường và chất lượng sản phẩm, hàng hóa</w:t>
            </w:r>
          </w:p>
        </w:tc>
        <w:tc>
          <w:tcPr>
            <w:tcW w:w="1417" w:type="dxa"/>
          </w:tcPr>
          <w:p w14:paraId="4A825A33">
            <w:pPr>
              <w:jc w:val="both"/>
              <w:rPr>
                <w:color w:val="auto"/>
                <w:sz w:val="24"/>
                <w:szCs w:val="24"/>
              </w:rPr>
            </w:pPr>
            <w:r>
              <w:rPr>
                <w:color w:val="auto"/>
                <w:sz w:val="24"/>
                <w:szCs w:val="24"/>
              </w:rPr>
              <w:t xml:space="preserve">Luật Tiêu chuẩn và Quy chuẩn kỹ thuật, Luật Chất lượng sản phẩm hàng hóa, </w:t>
            </w:r>
          </w:p>
          <w:p w14:paraId="28C3628E">
            <w:pPr>
              <w:jc w:val="both"/>
              <w:rPr>
                <w:color w:val="auto"/>
                <w:sz w:val="24"/>
                <w:szCs w:val="24"/>
              </w:rPr>
            </w:pPr>
            <w:r>
              <w:rPr>
                <w:color w:val="auto"/>
                <w:sz w:val="24"/>
                <w:szCs w:val="24"/>
              </w:rPr>
              <w:t xml:space="preserve">Luật Thanh tra, </w:t>
            </w:r>
          </w:p>
          <w:p w14:paraId="20A7DE33">
            <w:pPr>
              <w:jc w:val="both"/>
              <w:rPr>
                <w:rFonts w:hint="default"/>
                <w:color w:val="auto"/>
                <w:sz w:val="24"/>
                <w:szCs w:val="24"/>
                <w:lang w:val="en-US"/>
              </w:rPr>
            </w:pPr>
            <w:r>
              <w:rPr>
                <w:color w:val="auto"/>
                <w:sz w:val="24"/>
                <w:szCs w:val="24"/>
              </w:rPr>
              <w:t xml:space="preserve">Luật </w:t>
            </w:r>
            <w:r>
              <w:rPr>
                <w:rFonts w:hint="default"/>
                <w:color w:val="auto"/>
                <w:sz w:val="24"/>
                <w:szCs w:val="24"/>
                <w:lang w:val="en-US"/>
              </w:rPr>
              <w:t>X</w:t>
            </w:r>
            <w:r>
              <w:rPr>
                <w:color w:val="auto"/>
                <w:sz w:val="24"/>
                <w:szCs w:val="24"/>
              </w:rPr>
              <w:t>ử lý VPHC</w:t>
            </w:r>
            <w:r>
              <w:rPr>
                <w:rFonts w:hint="default"/>
                <w:color w:val="auto"/>
                <w:sz w:val="24"/>
                <w:szCs w:val="24"/>
                <w:lang w:val="en-US"/>
              </w:rPr>
              <w:t>,</w:t>
            </w:r>
          </w:p>
          <w:p w14:paraId="70277E42">
            <w:pPr>
              <w:jc w:val="both"/>
              <w:rPr>
                <w:rFonts w:hint="default"/>
                <w:color w:val="auto"/>
                <w:sz w:val="24"/>
                <w:szCs w:val="24"/>
                <w:lang w:val="en-US"/>
              </w:rPr>
            </w:pPr>
            <w:r>
              <w:rPr>
                <w:color w:val="auto"/>
                <w:sz w:val="24"/>
                <w:szCs w:val="24"/>
              </w:rPr>
              <w:t>Luật tổ chức chính quyền địa phương</w:t>
            </w:r>
            <w:r>
              <w:rPr>
                <w:rFonts w:hint="default"/>
                <w:color w:val="auto"/>
                <w:sz w:val="24"/>
                <w:szCs w:val="24"/>
                <w:lang w:val="en-US"/>
              </w:rPr>
              <w:t>.</w:t>
            </w:r>
          </w:p>
          <w:p w14:paraId="4D2103C8">
            <w:pPr>
              <w:jc w:val="both"/>
              <w:rPr>
                <w:rFonts w:hint="default"/>
                <w:color w:val="auto"/>
                <w:sz w:val="24"/>
                <w:szCs w:val="24"/>
                <w:lang w:val="en-US"/>
              </w:rPr>
            </w:pPr>
          </w:p>
        </w:tc>
        <w:tc>
          <w:tcPr>
            <w:tcW w:w="4051" w:type="dxa"/>
          </w:tcPr>
          <w:p w14:paraId="5F3A5C71">
            <w:pPr>
              <w:jc w:val="both"/>
              <w:rPr>
                <w:b w:val="0"/>
                <w:bCs w:val="0"/>
                <w:color w:val="auto"/>
                <w:sz w:val="24"/>
                <w:szCs w:val="24"/>
              </w:rPr>
            </w:pPr>
            <w:r>
              <w:rPr>
                <w:b w:val="0"/>
                <w:bCs w:val="0"/>
                <w:color w:val="auto"/>
                <w:sz w:val="24"/>
                <w:szCs w:val="24"/>
              </w:rPr>
              <w:t xml:space="preserve">Các Luật, Nghị định mới ban hành đã có nhiều quy định thay đổi về trách nhiệm và nghĩa vụ của tổ chức cá nhân trong lĩnh vực tiêu chuẩn, quy chuẩn kỹ thuật, đo lường, chất lượng sản phẩm, hàng hóa. Đồng thời, Luật XLVPHC và các Nghị định quy định chi tiết và hướng dẫn Luật Xử lý vi phạm hành chính về chức danh, thẩm quyền xử phạt vi phạm hành chính, khung mức phạt tiền tối đa trong các lĩnh vực đã có nhiều quy định thay đổi liên quan đến việc sắp xếp lại tổ chức hành chính nhà nước và tổ chức chính quyền địa phương 2 cấp. </w:t>
            </w:r>
          </w:p>
          <w:p w14:paraId="59DBB1A2">
            <w:pPr>
              <w:jc w:val="center"/>
              <w:rPr>
                <w:color w:val="auto"/>
                <w:sz w:val="24"/>
                <w:szCs w:val="24"/>
              </w:rPr>
            </w:pPr>
          </w:p>
        </w:tc>
        <w:tc>
          <w:tcPr>
            <w:tcW w:w="1394" w:type="dxa"/>
          </w:tcPr>
          <w:p w14:paraId="137A2ACB">
            <w:pPr>
              <w:jc w:val="center"/>
              <w:rPr>
                <w:color w:val="auto"/>
                <w:sz w:val="24"/>
                <w:szCs w:val="24"/>
              </w:rPr>
            </w:pPr>
            <w:r>
              <w:rPr>
                <w:color w:val="auto"/>
                <w:sz w:val="24"/>
                <w:szCs w:val="24"/>
              </w:rPr>
              <w:t>Nghị định thay thế</w:t>
            </w:r>
          </w:p>
        </w:tc>
        <w:tc>
          <w:tcPr>
            <w:tcW w:w="1275" w:type="dxa"/>
          </w:tcPr>
          <w:p w14:paraId="6DF5B7EF">
            <w:pPr>
              <w:jc w:val="center"/>
              <w:rPr>
                <w:rFonts w:hint="default"/>
                <w:color w:val="auto"/>
                <w:sz w:val="24"/>
                <w:szCs w:val="24"/>
                <w:lang w:val="en-US"/>
              </w:rPr>
            </w:pPr>
            <w:r>
              <w:rPr>
                <w:color w:val="auto"/>
                <w:sz w:val="24"/>
                <w:szCs w:val="24"/>
              </w:rPr>
              <w:t>sau khi Luật Xử lý vi phạm hành chính (sửa đổi) được thông qua</w:t>
            </w:r>
            <w:r>
              <w:rPr>
                <w:rFonts w:hint="default"/>
                <w:color w:val="auto"/>
                <w:sz w:val="24"/>
                <w:szCs w:val="24"/>
                <w:lang w:val="en-US"/>
              </w:rPr>
              <w:t xml:space="preserve"> </w:t>
            </w:r>
            <w:r>
              <w:rPr>
                <w:b w:val="0"/>
                <w:bCs w:val="0"/>
                <w:color w:val="auto"/>
                <w:sz w:val="24"/>
                <w:szCs w:val="24"/>
              </w:rPr>
              <w:t>và bổ sung đầy đủ lĩnh vực XLVPHC đối với lĩnh vực “tiêu chuẩn, quy chuẩn kỹ thuật, đo lường, chất lượng sản phẩm, hàng hóa” cũng như quy định về “mức tiền phạt tối đa” đối với lĩnh vực tiêu chuẩn, quy chuẩn kỹ thuật, đo lường, chất lượng sản phẩm, hàng hóa nhằm bảo đảm căn cứ pháp lý đối với việc xây dựng và trình Chính phủ ban hành Nghị định thay thế</w:t>
            </w:r>
          </w:p>
        </w:tc>
        <w:tc>
          <w:tcPr>
            <w:tcW w:w="1245" w:type="dxa"/>
          </w:tcPr>
          <w:p w14:paraId="6F4411F4">
            <w:pPr>
              <w:jc w:val="center"/>
              <w:rPr>
                <w:color w:val="auto"/>
                <w:sz w:val="24"/>
                <w:szCs w:val="24"/>
              </w:rPr>
            </w:pPr>
            <w:r>
              <w:rPr>
                <w:color w:val="auto"/>
                <w:sz w:val="24"/>
                <w:szCs w:val="24"/>
              </w:rPr>
              <w:t>Tiêu chí  2</w:t>
            </w:r>
          </w:p>
        </w:tc>
        <w:tc>
          <w:tcPr>
            <w:tcW w:w="1308" w:type="dxa"/>
          </w:tcPr>
          <w:p w14:paraId="5D097A3E">
            <w:pPr>
              <w:jc w:val="center"/>
              <w:rPr>
                <w:color w:val="auto"/>
                <w:sz w:val="24"/>
                <w:szCs w:val="24"/>
              </w:rPr>
            </w:pPr>
          </w:p>
        </w:tc>
        <w:tc>
          <w:tcPr>
            <w:tcW w:w="2410" w:type="dxa"/>
          </w:tcPr>
          <w:p w14:paraId="5C70C94A">
            <w:pPr>
              <w:ind w:firstLine="284"/>
              <w:jc w:val="both"/>
              <w:rPr>
                <w:color w:val="auto"/>
                <w:sz w:val="24"/>
                <w:szCs w:val="24"/>
              </w:rPr>
            </w:pPr>
            <w:r>
              <w:rPr>
                <w:color w:val="auto"/>
                <w:sz w:val="24"/>
                <w:szCs w:val="24"/>
              </w:rPr>
              <w:t xml:space="preserve">- Cần làm rõ, hoàn thiện thêm các nội dung cần  xử lý và lộ trình xử lý văn bản được rà soát. Cột số 3 nêu một trong các căn cứ rà soát là </w:t>
            </w:r>
            <w:r>
              <w:rPr>
                <w:bCs/>
                <w:iCs/>
                <w:color w:val="auto"/>
                <w:sz w:val="24"/>
                <w:szCs w:val="24"/>
              </w:rPr>
              <w:t>“</w:t>
            </w:r>
            <w:r>
              <w:rPr>
                <w:bCs/>
                <w:i/>
                <w:color w:val="auto"/>
                <w:sz w:val="24"/>
                <w:szCs w:val="24"/>
              </w:rPr>
              <w:t xml:space="preserve">các Nghị định hướng dẫn”; </w:t>
            </w:r>
            <w:r>
              <w:rPr>
                <w:bCs/>
                <w:color w:val="auto"/>
                <w:sz w:val="24"/>
                <w:szCs w:val="24"/>
              </w:rPr>
              <w:t>cột số 4</w:t>
            </w:r>
            <w:r>
              <w:rPr>
                <w:bCs/>
                <w:i/>
                <w:color w:val="auto"/>
                <w:sz w:val="24"/>
                <w:szCs w:val="24"/>
              </w:rPr>
              <w:t xml:space="preserve"> </w:t>
            </w:r>
            <w:r>
              <w:rPr>
                <w:bCs/>
                <w:iCs/>
                <w:color w:val="auto"/>
                <w:sz w:val="24"/>
                <w:szCs w:val="24"/>
              </w:rPr>
              <w:t>phân tích các nội dung, quy định cần xử lý của văn bản được rà soát:</w:t>
            </w:r>
            <w:r>
              <w:rPr>
                <w:bCs/>
                <w:i/>
                <w:color w:val="auto"/>
                <w:sz w:val="24"/>
                <w:szCs w:val="24"/>
              </w:rPr>
              <w:t>“</w:t>
            </w:r>
            <w:r>
              <w:rPr>
                <w:i/>
                <w:color w:val="auto"/>
                <w:sz w:val="24"/>
                <w:szCs w:val="24"/>
              </w:rPr>
              <w:t xml:space="preserve">Sửa để phù hợp với các Luật mới được ban hành và văn bản hướng dẫn”; </w:t>
            </w:r>
            <w:r>
              <w:rPr>
                <w:color w:val="auto"/>
                <w:sz w:val="24"/>
                <w:szCs w:val="24"/>
              </w:rPr>
              <w:t>cột số 6 nêu</w:t>
            </w:r>
            <w:r>
              <w:rPr>
                <w:i/>
                <w:color w:val="auto"/>
                <w:sz w:val="24"/>
                <w:szCs w:val="24"/>
              </w:rPr>
              <w:t xml:space="preserve"> </w:t>
            </w:r>
            <w:r>
              <w:rPr>
                <w:color w:val="auto"/>
                <w:spacing w:val="-4"/>
                <w:sz w:val="24"/>
                <w:szCs w:val="24"/>
              </w:rPr>
              <w:t>lộ trình xử lý văn bản là</w:t>
            </w:r>
            <w:r>
              <w:rPr>
                <w:i/>
                <w:color w:val="auto"/>
                <w:spacing w:val="-4"/>
                <w:sz w:val="24"/>
                <w:szCs w:val="24"/>
              </w:rPr>
              <w:t xml:space="preserve"> “</w:t>
            </w:r>
            <w:r>
              <w:rPr>
                <w:i/>
                <w:iCs/>
                <w:color w:val="auto"/>
                <w:spacing w:val="-4"/>
                <w:sz w:val="24"/>
                <w:szCs w:val="24"/>
              </w:rPr>
              <w:t>sau khi Luật Xử lý vi phạm hành chính (sửa đổi) được thông qua”.</w:t>
            </w:r>
            <w:r>
              <w:rPr>
                <w:color w:val="auto"/>
                <w:spacing w:val="-4"/>
                <w:sz w:val="24"/>
                <w:szCs w:val="24"/>
              </w:rPr>
              <w:t xml:space="preserve"> Tuy nhiên, các nội dung, phân tích nêu trên </w:t>
            </w:r>
            <w:r>
              <w:rPr>
                <w:bCs/>
                <w:color w:val="auto"/>
                <w:spacing w:val="-4"/>
                <w:sz w:val="24"/>
                <w:szCs w:val="24"/>
              </w:rPr>
              <w:t>là chưa rõ ràng, chưa cụ thể</w:t>
            </w:r>
            <w:r>
              <w:rPr>
                <w:color w:val="auto"/>
                <w:spacing w:val="-4"/>
                <w:sz w:val="24"/>
                <w:szCs w:val="24"/>
              </w:rPr>
              <w:t>.</w:t>
            </w:r>
          </w:p>
        </w:tc>
      </w:tr>
      <w:tr w14:paraId="5A7411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18" w:hRule="atLeast"/>
          <w:jc w:val="center"/>
        </w:trPr>
        <w:tc>
          <w:tcPr>
            <w:tcW w:w="704" w:type="dxa"/>
            <w:vMerge w:val="restart"/>
          </w:tcPr>
          <w:p w14:paraId="25442DBA">
            <w:pPr>
              <w:numPr>
                <w:ilvl w:val="0"/>
                <w:numId w:val="3"/>
              </w:numPr>
              <w:tabs>
                <w:tab w:val="left" w:pos="425"/>
              </w:tabs>
              <w:jc w:val="center"/>
              <w:rPr>
                <w:color w:val="auto"/>
                <w:sz w:val="24"/>
                <w:szCs w:val="24"/>
              </w:rPr>
            </w:pPr>
          </w:p>
        </w:tc>
        <w:tc>
          <w:tcPr>
            <w:tcW w:w="1843" w:type="dxa"/>
            <w:vMerge w:val="restart"/>
          </w:tcPr>
          <w:p w14:paraId="6B15D7A3">
            <w:pPr>
              <w:jc w:val="both"/>
              <w:rPr>
                <w:color w:val="auto"/>
                <w:sz w:val="24"/>
                <w:szCs w:val="24"/>
              </w:rPr>
            </w:pPr>
            <w:r>
              <w:rPr>
                <w:color w:val="auto"/>
                <w:sz w:val="24"/>
                <w:szCs w:val="24"/>
              </w:rPr>
              <w:t xml:space="preserve">Nghị định số 22/2026/NĐ-CP ngày </w:t>
            </w:r>
            <w:r>
              <w:rPr>
                <w:rFonts w:hint="default"/>
                <w:color w:val="auto"/>
                <w:sz w:val="24"/>
                <w:szCs w:val="24"/>
              </w:rPr>
              <w:t>16/01/2026 của Chính phủ quy định chi tiết một số điều và biện pháp để tổ chức, hướng dẫn thi hành Luật Tiêu chuẩn và quy chuẩn kỹ thuật</w:t>
            </w:r>
            <w:r>
              <w:rPr>
                <w:color w:val="auto"/>
                <w:sz w:val="24"/>
                <w:szCs w:val="24"/>
              </w:rPr>
              <w:t xml:space="preserve"> </w:t>
            </w:r>
          </w:p>
        </w:tc>
        <w:tc>
          <w:tcPr>
            <w:tcW w:w="1417" w:type="dxa"/>
            <w:tcBorders>
              <w:bottom w:val="single" w:color="000000" w:sz="4" w:space="0"/>
            </w:tcBorders>
          </w:tcPr>
          <w:p w14:paraId="23AF3289">
            <w:pPr>
              <w:jc w:val="both"/>
              <w:rPr>
                <w:color w:val="auto"/>
                <w:sz w:val="24"/>
                <w:szCs w:val="24"/>
              </w:rPr>
            </w:pPr>
            <w:r>
              <w:rPr>
                <w:color w:val="auto"/>
                <w:sz w:val="24"/>
                <w:szCs w:val="24"/>
              </w:rPr>
              <w:t>Tình hình thực tiễn</w:t>
            </w:r>
          </w:p>
        </w:tc>
        <w:tc>
          <w:tcPr>
            <w:tcW w:w="4051" w:type="dxa"/>
            <w:tcBorders>
              <w:bottom w:val="single" w:color="000000" w:sz="4" w:space="0"/>
            </w:tcBorders>
          </w:tcPr>
          <w:p w14:paraId="330C8FF6">
            <w:pPr>
              <w:jc w:val="both"/>
              <w:rPr>
                <w:color w:val="auto"/>
                <w:sz w:val="24"/>
                <w:szCs w:val="24"/>
              </w:rPr>
            </w:pPr>
            <w:r>
              <w:rPr>
                <w:color w:val="auto"/>
                <w:sz w:val="24"/>
                <w:szCs w:val="24"/>
              </w:rPr>
              <w:t>Một thủ tục cấp lại Giấy chứng nhận đăng ký hoạt động công nhận và 03 thủ tục hành chính về kiểm tra xác nhận, xác nhận giá trị sử dụng đã được thực thi tại Nghị quyết số 20/2026/NQ-CP và sẽ hết hiệu lực từ ngày 01/3/2027.</w:t>
            </w:r>
          </w:p>
        </w:tc>
        <w:tc>
          <w:tcPr>
            <w:tcW w:w="1394" w:type="dxa"/>
            <w:tcBorders>
              <w:bottom w:val="single" w:color="000000" w:sz="4" w:space="0"/>
            </w:tcBorders>
          </w:tcPr>
          <w:p w14:paraId="2CCD8CE6">
            <w:pPr>
              <w:jc w:val="center"/>
              <w:rPr>
                <w:color w:val="auto"/>
                <w:sz w:val="24"/>
                <w:szCs w:val="24"/>
              </w:rPr>
            </w:pPr>
            <w:r>
              <w:rPr>
                <w:color w:val="auto"/>
                <w:sz w:val="24"/>
                <w:szCs w:val="24"/>
              </w:rPr>
              <w:t>Văn bản sửa đổi, bổ sung</w:t>
            </w:r>
          </w:p>
        </w:tc>
        <w:tc>
          <w:tcPr>
            <w:tcW w:w="1275" w:type="dxa"/>
            <w:tcBorders>
              <w:bottom w:val="single" w:color="000000" w:sz="4" w:space="0"/>
            </w:tcBorders>
          </w:tcPr>
          <w:p w14:paraId="4ACC80FF">
            <w:pPr>
              <w:jc w:val="center"/>
              <w:rPr>
                <w:color w:val="auto"/>
                <w:sz w:val="24"/>
                <w:szCs w:val="24"/>
              </w:rPr>
            </w:pPr>
            <w:r>
              <w:rPr>
                <w:rFonts w:hint="default"/>
                <w:color w:val="auto"/>
                <w:sz w:val="24"/>
                <w:szCs w:val="24"/>
                <w:lang w:val="en-US"/>
              </w:rPr>
              <w:t>Tháng 3/</w:t>
            </w:r>
            <w:r>
              <w:rPr>
                <w:color w:val="auto"/>
                <w:sz w:val="24"/>
                <w:szCs w:val="24"/>
              </w:rPr>
              <w:t>2027</w:t>
            </w:r>
          </w:p>
        </w:tc>
        <w:tc>
          <w:tcPr>
            <w:tcW w:w="1245" w:type="dxa"/>
            <w:tcBorders>
              <w:bottom w:val="single" w:color="000000" w:sz="4" w:space="0"/>
            </w:tcBorders>
          </w:tcPr>
          <w:p w14:paraId="3FB386A4">
            <w:pPr>
              <w:jc w:val="center"/>
              <w:rPr>
                <w:color w:val="auto"/>
                <w:sz w:val="24"/>
                <w:szCs w:val="24"/>
              </w:rPr>
            </w:pPr>
            <w:r>
              <w:rPr>
                <w:color w:val="auto"/>
                <w:sz w:val="24"/>
                <w:szCs w:val="24"/>
              </w:rPr>
              <w:t>Tiêu chí 4</w:t>
            </w:r>
          </w:p>
        </w:tc>
        <w:tc>
          <w:tcPr>
            <w:tcW w:w="1308" w:type="dxa"/>
            <w:vMerge w:val="restart"/>
          </w:tcPr>
          <w:p w14:paraId="25E03FDF">
            <w:pPr>
              <w:jc w:val="center"/>
              <w:rPr>
                <w:color w:val="auto"/>
                <w:sz w:val="24"/>
                <w:szCs w:val="24"/>
              </w:rPr>
            </w:pPr>
          </w:p>
        </w:tc>
        <w:tc>
          <w:tcPr>
            <w:tcW w:w="2410" w:type="dxa"/>
            <w:vMerge w:val="restart"/>
          </w:tcPr>
          <w:p w14:paraId="591F24EB">
            <w:pPr>
              <w:ind w:firstLine="284"/>
              <w:jc w:val="both"/>
              <w:rPr>
                <w:color w:val="auto"/>
                <w:sz w:val="24"/>
                <w:szCs w:val="24"/>
              </w:rPr>
            </w:pPr>
            <w:r>
              <w:rPr>
                <w:color w:val="auto"/>
                <w:sz w:val="24"/>
                <w:szCs w:val="24"/>
              </w:rPr>
              <w:t>- Cần làm rõ, hoàn thiện thêm các nội dung cần  xử lý tại văn bản được rà soát.</w:t>
            </w:r>
          </w:p>
          <w:p w14:paraId="557C34FF">
            <w:pPr>
              <w:ind w:firstLine="284"/>
              <w:jc w:val="both"/>
              <w:rPr>
                <w:color w:val="auto"/>
                <w:sz w:val="24"/>
                <w:szCs w:val="24"/>
              </w:rPr>
            </w:pPr>
            <w:r>
              <w:rPr>
                <w:color w:val="auto"/>
                <w:sz w:val="24"/>
                <w:szCs w:val="24"/>
              </w:rPr>
              <w:t>- Chỉnh lý tên văn bản là căn cứ rà soát cho đầy đủ.</w:t>
            </w:r>
          </w:p>
        </w:tc>
      </w:tr>
      <w:tr w14:paraId="2B79BE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17" w:hRule="atLeast"/>
          <w:jc w:val="center"/>
        </w:trPr>
        <w:tc>
          <w:tcPr>
            <w:tcW w:w="704" w:type="dxa"/>
            <w:vMerge w:val="continue"/>
          </w:tcPr>
          <w:p w14:paraId="10C686DA">
            <w:pPr>
              <w:widowControl w:val="0"/>
              <w:spacing w:line="276" w:lineRule="auto"/>
              <w:rPr>
                <w:color w:val="auto"/>
                <w:sz w:val="24"/>
                <w:szCs w:val="24"/>
              </w:rPr>
            </w:pPr>
          </w:p>
        </w:tc>
        <w:tc>
          <w:tcPr>
            <w:tcW w:w="1843" w:type="dxa"/>
            <w:vMerge w:val="continue"/>
          </w:tcPr>
          <w:p w14:paraId="50E113AB">
            <w:pPr>
              <w:widowControl w:val="0"/>
              <w:spacing w:line="276" w:lineRule="auto"/>
              <w:rPr>
                <w:color w:val="auto"/>
                <w:sz w:val="24"/>
                <w:szCs w:val="24"/>
              </w:rPr>
            </w:pPr>
          </w:p>
        </w:tc>
        <w:tc>
          <w:tcPr>
            <w:tcW w:w="1417" w:type="dxa"/>
            <w:tcBorders>
              <w:top w:val="single" w:color="000000" w:sz="4" w:space="0"/>
            </w:tcBorders>
          </w:tcPr>
          <w:p w14:paraId="5E1E4D0E">
            <w:pPr>
              <w:jc w:val="both"/>
              <w:rPr>
                <w:rFonts w:hint="default"/>
                <w:color w:val="auto"/>
                <w:sz w:val="24"/>
                <w:szCs w:val="24"/>
                <w:lang w:val="en-US"/>
              </w:rPr>
            </w:pPr>
            <w:r>
              <w:rPr>
                <w:color w:val="auto"/>
                <w:sz w:val="24"/>
                <w:szCs w:val="24"/>
              </w:rPr>
              <w:t>Nghị quyết số 20/2026/NQ-CP</w:t>
            </w:r>
            <w:r>
              <w:rPr>
                <w:b w:val="0"/>
                <w:bCs w:val="0"/>
                <w:color w:val="auto"/>
                <w:sz w:val="24"/>
                <w:szCs w:val="24"/>
              </w:rPr>
              <w:t xml:space="preserve"> ngày 29/4/2026 của Chính phủ </w:t>
            </w:r>
            <w:bookmarkStart w:id="4" w:name="loai_1_name"/>
            <w:r>
              <w:rPr>
                <w:b w:val="0"/>
                <w:bCs w:val="0"/>
                <w:color w:val="auto"/>
                <w:sz w:val="24"/>
                <w:szCs w:val="24"/>
              </w:rPr>
              <w:t>phân cấp, cắt giảm, đơn giản hóa thủ tục hành chính, điều kiện kinh doanh thuộc phạm vi quản lý nhà nước của Bộ Khoa học và Công nghệ</w:t>
            </w:r>
            <w:bookmarkEnd w:id="4"/>
            <w:r>
              <w:rPr>
                <w:b w:val="0"/>
                <w:bCs w:val="0"/>
                <w:color w:val="auto"/>
                <w:sz w:val="24"/>
                <w:szCs w:val="24"/>
              </w:rPr>
              <w:t xml:space="preserve"> đối với một số TTHC thuộc lĩnh vực tiêu chuẩn đo lường chất lượng</w:t>
            </w:r>
          </w:p>
        </w:tc>
        <w:tc>
          <w:tcPr>
            <w:tcW w:w="4051" w:type="dxa"/>
            <w:tcBorders>
              <w:top w:val="single" w:color="000000" w:sz="4" w:space="0"/>
            </w:tcBorders>
          </w:tcPr>
          <w:p w14:paraId="17E12BCB">
            <w:pPr>
              <w:jc w:val="both"/>
              <w:rPr>
                <w:color w:val="auto"/>
                <w:sz w:val="24"/>
                <w:szCs w:val="24"/>
              </w:rPr>
            </w:pPr>
            <w:r>
              <w:rPr>
                <w:color w:val="auto"/>
                <w:sz w:val="24"/>
                <w:szCs w:val="24"/>
              </w:rPr>
              <w:t>Khoản 1 Điều 55; Khoản 3 khoản 4 Điều 59; khoản 2, khoản 3 Điều 61; Thủ tục cấp lại Giấy chứng nhận đăng ký hoạt động công nhận, 3 TTHC về kiểm tra xác nhận, xác nhận giá trị sử dụng đã được thực thi tại Nghị quyết số 20/2026/NQ-CP và sẽ hết hiệu lực từ ngày 01/3/2027.</w:t>
            </w:r>
          </w:p>
          <w:p w14:paraId="37A1A2E6">
            <w:pPr>
              <w:jc w:val="both"/>
              <w:rPr>
                <w:color w:val="auto"/>
                <w:sz w:val="24"/>
                <w:szCs w:val="24"/>
              </w:rPr>
            </w:pPr>
            <w:r>
              <w:rPr>
                <w:color w:val="auto"/>
                <w:sz w:val="24"/>
                <w:szCs w:val="24"/>
              </w:rPr>
              <w:t>Điểm a, điểm c khoản 3 Điều 65; khoản 3, khoản 4 Điều 67; Mẫu số 14, Mẫu số 15 Phụ lục.</w:t>
            </w:r>
          </w:p>
        </w:tc>
        <w:tc>
          <w:tcPr>
            <w:tcW w:w="1394" w:type="dxa"/>
            <w:tcBorders>
              <w:top w:val="single" w:color="000000" w:sz="4" w:space="0"/>
            </w:tcBorders>
          </w:tcPr>
          <w:p w14:paraId="0FDCD337">
            <w:pPr>
              <w:jc w:val="center"/>
              <w:rPr>
                <w:color w:val="auto"/>
                <w:sz w:val="24"/>
                <w:szCs w:val="24"/>
              </w:rPr>
            </w:pPr>
            <w:r>
              <w:rPr>
                <w:color w:val="auto"/>
                <w:sz w:val="24"/>
                <w:szCs w:val="24"/>
              </w:rPr>
              <w:t>Văn bản sửa đổi, bổ sung</w:t>
            </w:r>
          </w:p>
        </w:tc>
        <w:tc>
          <w:tcPr>
            <w:tcW w:w="1275" w:type="dxa"/>
            <w:tcBorders>
              <w:top w:val="single" w:color="000000" w:sz="4" w:space="0"/>
            </w:tcBorders>
          </w:tcPr>
          <w:p w14:paraId="45C60472">
            <w:pPr>
              <w:jc w:val="center"/>
              <w:rPr>
                <w:color w:val="auto"/>
                <w:sz w:val="24"/>
                <w:szCs w:val="24"/>
              </w:rPr>
            </w:pPr>
            <w:r>
              <w:rPr>
                <w:rFonts w:hint="default"/>
                <w:color w:val="auto"/>
                <w:sz w:val="24"/>
                <w:szCs w:val="24"/>
                <w:lang w:val="en-US"/>
              </w:rPr>
              <w:t>Tháng 3/</w:t>
            </w:r>
            <w:r>
              <w:rPr>
                <w:color w:val="auto"/>
                <w:sz w:val="24"/>
                <w:szCs w:val="24"/>
              </w:rPr>
              <w:t>2027</w:t>
            </w:r>
          </w:p>
        </w:tc>
        <w:tc>
          <w:tcPr>
            <w:tcW w:w="1245" w:type="dxa"/>
            <w:tcBorders>
              <w:top w:val="single" w:color="000000" w:sz="4" w:space="0"/>
            </w:tcBorders>
          </w:tcPr>
          <w:p w14:paraId="4022EAF8">
            <w:pPr>
              <w:jc w:val="center"/>
              <w:rPr>
                <w:color w:val="auto"/>
                <w:sz w:val="24"/>
                <w:szCs w:val="24"/>
              </w:rPr>
            </w:pPr>
            <w:r>
              <w:rPr>
                <w:color w:val="auto"/>
                <w:sz w:val="24"/>
                <w:szCs w:val="24"/>
              </w:rPr>
              <w:t>Tiêu chí 4</w:t>
            </w:r>
          </w:p>
        </w:tc>
        <w:tc>
          <w:tcPr>
            <w:tcW w:w="1308" w:type="dxa"/>
            <w:vMerge w:val="continue"/>
          </w:tcPr>
          <w:p w14:paraId="5462E904">
            <w:pPr>
              <w:widowControl w:val="0"/>
              <w:spacing w:line="276" w:lineRule="auto"/>
              <w:rPr>
                <w:color w:val="auto"/>
                <w:sz w:val="24"/>
                <w:szCs w:val="24"/>
              </w:rPr>
            </w:pPr>
          </w:p>
        </w:tc>
        <w:tc>
          <w:tcPr>
            <w:tcW w:w="2410" w:type="dxa"/>
            <w:vMerge w:val="continue"/>
          </w:tcPr>
          <w:p w14:paraId="7E8A406C">
            <w:pPr>
              <w:widowControl w:val="0"/>
              <w:spacing w:line="276" w:lineRule="auto"/>
              <w:ind w:firstLine="284"/>
              <w:jc w:val="both"/>
              <w:rPr>
                <w:color w:val="auto"/>
                <w:sz w:val="24"/>
                <w:szCs w:val="24"/>
              </w:rPr>
            </w:pPr>
          </w:p>
        </w:tc>
      </w:tr>
      <w:tr w14:paraId="70DFAD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 w:hRule="atLeast"/>
          <w:jc w:val="center"/>
        </w:trPr>
        <w:tc>
          <w:tcPr>
            <w:tcW w:w="704" w:type="dxa"/>
            <w:vMerge w:val="restart"/>
          </w:tcPr>
          <w:p w14:paraId="696CEC45">
            <w:pPr>
              <w:numPr>
                <w:ilvl w:val="0"/>
                <w:numId w:val="3"/>
              </w:numPr>
              <w:tabs>
                <w:tab w:val="left" w:pos="425"/>
              </w:tabs>
              <w:jc w:val="center"/>
              <w:rPr>
                <w:color w:val="auto"/>
                <w:sz w:val="24"/>
                <w:szCs w:val="24"/>
              </w:rPr>
            </w:pPr>
          </w:p>
        </w:tc>
        <w:tc>
          <w:tcPr>
            <w:tcW w:w="1843" w:type="dxa"/>
            <w:vMerge w:val="restart"/>
          </w:tcPr>
          <w:p w14:paraId="3159647E">
            <w:pPr>
              <w:jc w:val="both"/>
              <w:rPr>
                <w:color w:val="auto"/>
                <w:sz w:val="24"/>
                <w:szCs w:val="24"/>
              </w:rPr>
            </w:pPr>
            <w:r>
              <w:rPr>
                <w:color w:val="auto"/>
                <w:sz w:val="24"/>
                <w:szCs w:val="24"/>
              </w:rPr>
              <w:t xml:space="preserve">Nghị định số 37/2026/NĐ-CP ngày 23/01/2026 của Chính phủ quy định chi tiết một số điều và biện pháp tổ chức thi hành Luật Chất lượng sản phẩm, hàng hóa </w:t>
            </w:r>
          </w:p>
        </w:tc>
        <w:tc>
          <w:tcPr>
            <w:tcW w:w="1417" w:type="dxa"/>
          </w:tcPr>
          <w:p w14:paraId="0D9A51AF">
            <w:pPr>
              <w:jc w:val="both"/>
              <w:rPr>
                <w:color w:val="auto"/>
                <w:sz w:val="24"/>
                <w:szCs w:val="24"/>
              </w:rPr>
            </w:pPr>
            <w:r>
              <w:rPr>
                <w:color w:val="auto"/>
                <w:sz w:val="24"/>
                <w:szCs w:val="24"/>
              </w:rPr>
              <w:t>Tình hình thực tiễn</w:t>
            </w:r>
          </w:p>
        </w:tc>
        <w:tc>
          <w:tcPr>
            <w:tcW w:w="4051" w:type="dxa"/>
          </w:tcPr>
          <w:p w14:paraId="406373D9">
            <w:pPr>
              <w:jc w:val="both"/>
              <w:rPr>
                <w:color w:val="auto"/>
                <w:sz w:val="24"/>
                <w:szCs w:val="24"/>
              </w:rPr>
            </w:pPr>
            <w:r>
              <w:rPr>
                <w:color w:val="auto"/>
                <w:sz w:val="24"/>
                <w:szCs w:val="24"/>
              </w:rPr>
              <w:t>Thực trạng áp dụng cơ chế về nhãn sản phẩm khi thay đổi tên doanh nghiệp theo khoản 5 Điều 98 nhãn sản phẩm và khó khăn phát sinh:</w:t>
            </w:r>
          </w:p>
          <w:p w14:paraId="2509B668">
            <w:pPr>
              <w:jc w:val="both"/>
              <w:rPr>
                <w:color w:val="auto"/>
                <w:sz w:val="24"/>
                <w:szCs w:val="24"/>
              </w:rPr>
            </w:pPr>
            <w:r>
              <w:rPr>
                <w:color w:val="auto"/>
                <w:sz w:val="24"/>
                <w:szCs w:val="24"/>
              </w:rPr>
              <w:t>Để đảm bảo quy tình sản xuất, tránh đứt gãy chuỗi cung ứng, các công ty thường quản lý số lượng rất lớn nhãn sản phẩm, bao gồm:</w:t>
            </w:r>
          </w:p>
          <w:p w14:paraId="7AD266E2">
            <w:pPr>
              <w:jc w:val="both"/>
              <w:rPr>
                <w:color w:val="auto"/>
                <w:sz w:val="24"/>
                <w:szCs w:val="24"/>
              </w:rPr>
            </w:pPr>
            <w:r>
              <w:rPr>
                <w:color w:val="auto"/>
                <w:sz w:val="24"/>
                <w:szCs w:val="24"/>
              </w:rPr>
              <w:t>- Các sản phẩm do Công ty trực tiếp thực hiện thủ tục tự công bố/công bố sản phẩm theo quy định pháp luật</w:t>
            </w:r>
          </w:p>
          <w:p w14:paraId="5EACBA1A">
            <w:pPr>
              <w:jc w:val="both"/>
              <w:rPr>
                <w:color w:val="auto"/>
                <w:sz w:val="24"/>
                <w:szCs w:val="24"/>
              </w:rPr>
            </w:pPr>
            <w:r>
              <w:rPr>
                <w:color w:val="auto"/>
                <w:sz w:val="24"/>
                <w:szCs w:val="24"/>
              </w:rPr>
              <w:t>- Các sản phẩm do Đối tác của Công ty thực hiện thủ tục công bố sản phẩm, trong đó Công ty là đơn vị chịu trách nhiệm phân phối sản phẩm ra thị trường.</w:t>
            </w:r>
          </w:p>
          <w:p w14:paraId="78429633">
            <w:pPr>
              <w:jc w:val="both"/>
              <w:rPr>
                <w:color w:val="auto"/>
                <w:sz w:val="24"/>
                <w:szCs w:val="24"/>
              </w:rPr>
            </w:pPr>
            <w:r>
              <w:rPr>
                <w:color w:val="auto"/>
                <w:sz w:val="24"/>
                <w:szCs w:val="24"/>
              </w:rPr>
              <w:t>Do danh mục sản phẩm đa dạng và lượng bao bì đã được in ấn, lưu kho lớn nhằm bảo đảm sản xuất liên tục, việc nếu phải chuyển đổi đồng loạt toàn bộ nhãn sản phẩm trong thời gian ngắn sau khi thay đổi tên doanh nghiệp là không khả thi về mặt kỹ thuật, vận hành và chi phí; đồng thời có nguy cơ gián đoạn hoạt động sản xuất, kinh doanh và phát sinh lãng phí bao bì.</w:t>
            </w:r>
          </w:p>
          <w:p w14:paraId="580C3F79">
            <w:pPr>
              <w:jc w:val="both"/>
              <w:rPr>
                <w:color w:val="auto"/>
                <w:sz w:val="24"/>
                <w:szCs w:val="24"/>
              </w:rPr>
            </w:pPr>
            <w:r>
              <w:rPr>
                <w:color w:val="auto"/>
                <w:sz w:val="24"/>
                <w:szCs w:val="24"/>
              </w:rPr>
              <w:t>Theo khoản 5 Điều 98 Nghị định số 37/2026/NĐ-CP, trường hợp tổ chức, cá nhân chịu trách nhiệm về hàng hóa có thay đổi thông tin do quyết định của cơ quan nhà nước có thẩm quyền mà không làm thay đổi.</w:t>
            </w:r>
          </w:p>
          <w:p w14:paraId="4A0F9699">
            <w:pPr>
              <w:jc w:val="both"/>
              <w:rPr>
                <w:color w:val="auto"/>
                <w:sz w:val="24"/>
                <w:szCs w:val="24"/>
              </w:rPr>
            </w:pPr>
            <w:r>
              <w:rPr>
                <w:color w:val="auto"/>
                <w:sz w:val="24"/>
                <w:szCs w:val="24"/>
              </w:rPr>
              <w:t>Trên cơ sở các nội dung nêu trên, nhằm bảo đảm hoạt động sản xuất, kinh doanh liên tục và hạn chế lãng phí bao bì, kính đề nghị các cơ quan quản lý Nhà nước xem xét và chấp thuận các nội dung sau: - Cho phép Công ty tiếp tục sử dụng nhãn hàng hóa thể hiện Tên Công ty Cũ trong giai đoạn chuyển tiếp sau khi Công ty được cấp Giấy chứng nhận đăng ký doanh nghiệp ghi nhận Tên Công ty Mới; - Thời hạn áp dụng: 06 tháng - 1năm, kể từ ngày Giấy chứng nhận đăng ký doanh nghiệp ghi nhận Tên Công ty Mới được cấp; - Phạm vi áp dụng: Sản phẩm do Công ty trực tiếp thực hiện công bố sản phẩm; và sản phẩm do Đối tác của Công ty thực hiện công bố sản phẩm, Công ty chịu trách nhiệm phân phối.</w:t>
            </w:r>
          </w:p>
        </w:tc>
        <w:tc>
          <w:tcPr>
            <w:tcW w:w="1394" w:type="dxa"/>
          </w:tcPr>
          <w:p w14:paraId="55B2F5EA">
            <w:pPr>
              <w:jc w:val="center"/>
              <w:rPr>
                <w:color w:val="auto"/>
                <w:sz w:val="24"/>
                <w:szCs w:val="24"/>
              </w:rPr>
            </w:pPr>
            <w:r>
              <w:rPr>
                <w:color w:val="auto"/>
                <w:sz w:val="24"/>
                <w:szCs w:val="24"/>
              </w:rPr>
              <w:t>Văn bản sửa đổi, bổ sung</w:t>
            </w:r>
          </w:p>
        </w:tc>
        <w:tc>
          <w:tcPr>
            <w:tcW w:w="1275" w:type="dxa"/>
          </w:tcPr>
          <w:p w14:paraId="79F6E76E">
            <w:pPr>
              <w:jc w:val="center"/>
              <w:rPr>
                <w:rFonts w:hint="default"/>
                <w:color w:val="auto"/>
                <w:sz w:val="24"/>
                <w:szCs w:val="24"/>
                <w:lang w:val="en-US"/>
              </w:rPr>
            </w:pPr>
            <w:r>
              <w:rPr>
                <w:rFonts w:hint="default"/>
                <w:color w:val="auto"/>
                <w:sz w:val="24"/>
                <w:szCs w:val="24"/>
                <w:lang w:val="en-US"/>
              </w:rPr>
              <w:t>Tháng 12/2027</w:t>
            </w:r>
          </w:p>
        </w:tc>
        <w:tc>
          <w:tcPr>
            <w:tcW w:w="1245" w:type="dxa"/>
          </w:tcPr>
          <w:p w14:paraId="03749AB7">
            <w:pPr>
              <w:jc w:val="center"/>
              <w:rPr>
                <w:color w:val="auto"/>
                <w:sz w:val="24"/>
                <w:szCs w:val="24"/>
              </w:rPr>
            </w:pPr>
            <w:r>
              <w:rPr>
                <w:color w:val="auto"/>
                <w:sz w:val="24"/>
                <w:szCs w:val="24"/>
              </w:rPr>
              <w:t>Tiêu chí 5</w:t>
            </w:r>
          </w:p>
        </w:tc>
        <w:tc>
          <w:tcPr>
            <w:tcW w:w="1308" w:type="dxa"/>
          </w:tcPr>
          <w:p w14:paraId="774A7DBD">
            <w:pPr>
              <w:jc w:val="center"/>
              <w:rPr>
                <w:color w:val="auto"/>
                <w:sz w:val="24"/>
                <w:szCs w:val="24"/>
              </w:rPr>
            </w:pPr>
            <w:r>
              <w:rPr>
                <w:color w:val="auto"/>
                <w:sz w:val="24"/>
                <w:szCs w:val="24"/>
              </w:rPr>
              <w:t>Mặt trận tổ quốc</w:t>
            </w:r>
          </w:p>
        </w:tc>
        <w:tc>
          <w:tcPr>
            <w:tcW w:w="2410" w:type="dxa"/>
          </w:tcPr>
          <w:p w14:paraId="24148018">
            <w:pPr>
              <w:ind w:firstLine="284"/>
              <w:jc w:val="both"/>
              <w:rPr>
                <w:color w:val="auto"/>
                <w:sz w:val="24"/>
                <w:szCs w:val="24"/>
              </w:rPr>
            </w:pPr>
            <w:r>
              <w:rPr>
                <w:color w:val="auto"/>
                <w:sz w:val="24"/>
                <w:szCs w:val="24"/>
              </w:rPr>
              <w:t>Cần làm rõ lộ trình xử lý văn bản được rà soát.</w:t>
            </w:r>
          </w:p>
        </w:tc>
      </w:tr>
      <w:tr w14:paraId="734494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 w:hRule="atLeast"/>
          <w:jc w:val="center"/>
        </w:trPr>
        <w:tc>
          <w:tcPr>
            <w:tcW w:w="704" w:type="dxa"/>
            <w:vMerge w:val="continue"/>
          </w:tcPr>
          <w:p w14:paraId="72DD2F44">
            <w:pPr>
              <w:widowControl w:val="0"/>
              <w:spacing w:line="276" w:lineRule="auto"/>
              <w:rPr>
                <w:color w:val="auto"/>
                <w:sz w:val="24"/>
                <w:szCs w:val="24"/>
              </w:rPr>
            </w:pPr>
          </w:p>
        </w:tc>
        <w:tc>
          <w:tcPr>
            <w:tcW w:w="1843" w:type="dxa"/>
            <w:vMerge w:val="continue"/>
          </w:tcPr>
          <w:p w14:paraId="238A0471">
            <w:pPr>
              <w:widowControl w:val="0"/>
              <w:spacing w:line="276" w:lineRule="auto"/>
              <w:rPr>
                <w:color w:val="auto"/>
                <w:sz w:val="24"/>
                <w:szCs w:val="24"/>
              </w:rPr>
            </w:pPr>
          </w:p>
        </w:tc>
        <w:tc>
          <w:tcPr>
            <w:tcW w:w="1417" w:type="dxa"/>
          </w:tcPr>
          <w:p w14:paraId="537B7FC5">
            <w:pPr>
              <w:jc w:val="both"/>
              <w:rPr>
                <w:color w:val="auto"/>
                <w:sz w:val="24"/>
                <w:szCs w:val="24"/>
              </w:rPr>
            </w:pPr>
            <w:r>
              <w:rPr>
                <w:color w:val="auto"/>
                <w:sz w:val="24"/>
                <w:szCs w:val="24"/>
              </w:rPr>
              <w:t>Tình hình thực tiễn</w:t>
            </w:r>
          </w:p>
        </w:tc>
        <w:tc>
          <w:tcPr>
            <w:tcW w:w="4051" w:type="dxa"/>
          </w:tcPr>
          <w:p w14:paraId="401ECE14">
            <w:pPr>
              <w:jc w:val="both"/>
              <w:rPr>
                <w:color w:val="auto"/>
                <w:sz w:val="24"/>
                <w:szCs w:val="24"/>
              </w:rPr>
            </w:pPr>
            <w:r>
              <w:rPr>
                <w:color w:val="auto"/>
                <w:sz w:val="24"/>
                <w:szCs w:val="24"/>
              </w:rPr>
              <w:t>Quy định yêu cầu thay đổi nhãn hàng hóa đồng loạt ngay khi doanh nghiệp đổi tên pháp nhân mà không có lộ trình chuyển tiếp. Khó khăn thực tế: Việc này gây lãng phí cực lớn do phải hủy bỏ lượng nhãn cũ khổng lồ và làm gián đoạn việc lưu thông hàng hóa trên thị trường dù nội dung kỹ thuật của sản phẩm không đổi.</w:t>
            </w:r>
          </w:p>
          <w:p w14:paraId="2CDD5782">
            <w:pPr>
              <w:jc w:val="both"/>
              <w:rPr>
                <w:color w:val="auto"/>
                <w:sz w:val="24"/>
                <w:szCs w:val="24"/>
              </w:rPr>
            </w:pPr>
            <w:r>
              <w:rPr>
                <w:color w:val="auto"/>
                <w:sz w:val="24"/>
                <w:szCs w:val="24"/>
              </w:rPr>
              <w:t>Cho phép thời gian chuyển tiếp từ 6-12 tháng để doanh nghiệp tiêu thụ hết lượng nhãn cũ sau khi đổi tên pháp nhân</w:t>
            </w:r>
          </w:p>
          <w:p w14:paraId="65D99F5A">
            <w:pPr>
              <w:jc w:val="both"/>
              <w:rPr>
                <w:color w:val="auto"/>
                <w:sz w:val="24"/>
                <w:szCs w:val="24"/>
              </w:rPr>
            </w:pPr>
            <w:r>
              <w:rPr>
                <w:b w:val="0"/>
                <w:bCs w:val="0"/>
                <w:color w:val="auto"/>
                <w:sz w:val="24"/>
                <w:szCs w:val="24"/>
              </w:rPr>
              <w:t>Việc sửa đổi quy định hiện hành theo hướng tạo điều kiện cho doanh nghiệp khi có thay đổi về một số nội dung liên quan đến pháp nhân nhưng không làm thay đổi về bản chất của pháp nhân nhưng có ảnh hưởng tới việc ghi nhãn hàng hóa</w:t>
            </w:r>
          </w:p>
        </w:tc>
        <w:tc>
          <w:tcPr>
            <w:tcW w:w="1394" w:type="dxa"/>
          </w:tcPr>
          <w:p w14:paraId="15F6A5C7">
            <w:pPr>
              <w:jc w:val="center"/>
              <w:rPr>
                <w:color w:val="auto"/>
                <w:sz w:val="24"/>
                <w:szCs w:val="24"/>
              </w:rPr>
            </w:pPr>
            <w:r>
              <w:rPr>
                <w:color w:val="auto"/>
                <w:sz w:val="24"/>
                <w:szCs w:val="24"/>
              </w:rPr>
              <w:t>Văn bản sửa đổi, bổ sung</w:t>
            </w:r>
          </w:p>
        </w:tc>
        <w:tc>
          <w:tcPr>
            <w:tcW w:w="1275" w:type="dxa"/>
          </w:tcPr>
          <w:p w14:paraId="5A0F403F">
            <w:pPr>
              <w:jc w:val="center"/>
              <w:rPr>
                <w:rFonts w:hint="default"/>
                <w:color w:val="auto"/>
                <w:sz w:val="24"/>
                <w:szCs w:val="24"/>
                <w:lang w:val="en-US"/>
              </w:rPr>
            </w:pPr>
            <w:r>
              <w:rPr>
                <w:rFonts w:hint="default"/>
                <w:color w:val="auto"/>
                <w:sz w:val="24"/>
                <w:szCs w:val="24"/>
                <w:lang w:val="en-US"/>
              </w:rPr>
              <w:t>Tháng 12/2027</w:t>
            </w:r>
          </w:p>
        </w:tc>
        <w:tc>
          <w:tcPr>
            <w:tcW w:w="1245" w:type="dxa"/>
          </w:tcPr>
          <w:p w14:paraId="63EF1CB7">
            <w:pPr>
              <w:jc w:val="center"/>
              <w:rPr>
                <w:color w:val="auto"/>
                <w:sz w:val="24"/>
                <w:szCs w:val="24"/>
              </w:rPr>
            </w:pPr>
            <w:r>
              <w:rPr>
                <w:color w:val="auto"/>
                <w:sz w:val="24"/>
                <w:szCs w:val="24"/>
              </w:rPr>
              <w:t>Tiêu chí 5</w:t>
            </w:r>
          </w:p>
        </w:tc>
        <w:tc>
          <w:tcPr>
            <w:tcW w:w="1308" w:type="dxa"/>
          </w:tcPr>
          <w:p w14:paraId="2BF7AC53">
            <w:pPr>
              <w:jc w:val="center"/>
              <w:rPr>
                <w:color w:val="auto"/>
                <w:sz w:val="24"/>
                <w:szCs w:val="24"/>
              </w:rPr>
            </w:pPr>
          </w:p>
        </w:tc>
        <w:tc>
          <w:tcPr>
            <w:tcW w:w="2410" w:type="dxa"/>
          </w:tcPr>
          <w:p w14:paraId="7EDB773E">
            <w:pPr>
              <w:ind w:firstLine="284"/>
              <w:jc w:val="both"/>
              <w:rPr>
                <w:color w:val="auto"/>
                <w:sz w:val="24"/>
                <w:szCs w:val="24"/>
              </w:rPr>
            </w:pPr>
            <w:r>
              <w:rPr>
                <w:color w:val="auto"/>
                <w:sz w:val="24"/>
                <w:szCs w:val="24"/>
              </w:rPr>
              <w:t>Cần làm rõ, hoàn thiện thêm các nội dung cần  xử lý xử lý tại văn bản được rà soát.</w:t>
            </w:r>
          </w:p>
        </w:tc>
      </w:tr>
      <w:tr w14:paraId="532917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 w:hRule="atLeast"/>
          <w:jc w:val="center"/>
        </w:trPr>
        <w:tc>
          <w:tcPr>
            <w:tcW w:w="704" w:type="dxa"/>
            <w:vMerge w:val="continue"/>
          </w:tcPr>
          <w:p w14:paraId="7FEE9F0B">
            <w:pPr>
              <w:widowControl w:val="0"/>
              <w:spacing w:line="276" w:lineRule="auto"/>
              <w:rPr>
                <w:color w:val="auto"/>
                <w:sz w:val="24"/>
                <w:szCs w:val="24"/>
              </w:rPr>
            </w:pPr>
          </w:p>
        </w:tc>
        <w:tc>
          <w:tcPr>
            <w:tcW w:w="1843" w:type="dxa"/>
            <w:vMerge w:val="continue"/>
          </w:tcPr>
          <w:p w14:paraId="241E0038">
            <w:pPr>
              <w:widowControl w:val="0"/>
              <w:spacing w:line="276" w:lineRule="auto"/>
              <w:rPr>
                <w:color w:val="auto"/>
                <w:sz w:val="24"/>
                <w:szCs w:val="24"/>
              </w:rPr>
            </w:pPr>
          </w:p>
        </w:tc>
        <w:tc>
          <w:tcPr>
            <w:tcW w:w="1417" w:type="dxa"/>
          </w:tcPr>
          <w:p w14:paraId="77F6F093">
            <w:pPr>
              <w:jc w:val="both"/>
              <w:rPr>
                <w:color w:val="auto"/>
                <w:sz w:val="24"/>
                <w:szCs w:val="24"/>
              </w:rPr>
            </w:pPr>
            <w:r>
              <w:rPr>
                <w:color w:val="auto"/>
                <w:sz w:val="24"/>
                <w:szCs w:val="24"/>
              </w:rPr>
              <w:t>Tình hình thực tiễn chưa có quy định pháp luật điều</w:t>
            </w:r>
          </w:p>
          <w:p w14:paraId="226B7900">
            <w:pPr>
              <w:jc w:val="both"/>
              <w:rPr>
                <w:color w:val="auto"/>
                <w:sz w:val="24"/>
                <w:szCs w:val="24"/>
              </w:rPr>
            </w:pPr>
            <w:r>
              <w:rPr>
                <w:color w:val="auto"/>
                <w:sz w:val="24"/>
                <w:szCs w:val="24"/>
              </w:rPr>
              <w:t>chỉnh.</w:t>
            </w:r>
          </w:p>
        </w:tc>
        <w:tc>
          <w:tcPr>
            <w:tcW w:w="4051" w:type="dxa"/>
          </w:tcPr>
          <w:p w14:paraId="782A3C19">
            <w:pPr>
              <w:jc w:val="both"/>
              <w:rPr>
                <w:color w:val="auto"/>
                <w:sz w:val="24"/>
                <w:szCs w:val="24"/>
              </w:rPr>
            </w:pPr>
            <w:r>
              <w:rPr>
                <w:color w:val="auto"/>
                <w:sz w:val="24"/>
                <w:szCs w:val="24"/>
              </w:rPr>
              <w:t>Khoản 3, khoản 4 Điều 73; khoản 1, khoản 2 Điều 75; Mẫu số 11; Mẫu số 12 Phụ lục VII;</w:t>
            </w:r>
          </w:p>
          <w:p w14:paraId="6D67465D">
            <w:pPr>
              <w:jc w:val="both"/>
              <w:rPr>
                <w:color w:val="auto"/>
                <w:sz w:val="24"/>
                <w:szCs w:val="24"/>
              </w:rPr>
            </w:pPr>
            <w:r>
              <w:rPr>
                <w:color w:val="auto"/>
                <w:sz w:val="24"/>
                <w:szCs w:val="24"/>
              </w:rPr>
              <w:t>Chưa có quy định chuyển tiếp riêng đối với trường hợp doanh nghiệp thay đổi tên do giao dịch mua lại, sáp nhập, hợp nhất, chuyển đổi hoặc thay đổi chủ sở hữu mà không làm chấm dứt pháp nhân, không làm thay đổi quyền, nghĩa vụ, mã số thuế, địa chỉ, chất lượng hàng hóa và chủ thể chịu trách nhiệm đối với hàng hóa.</w:t>
            </w:r>
          </w:p>
          <w:p w14:paraId="1687263C">
            <w:pPr>
              <w:jc w:val="both"/>
              <w:rPr>
                <w:color w:val="auto"/>
                <w:sz w:val="24"/>
                <w:szCs w:val="24"/>
              </w:rPr>
            </w:pPr>
            <w:r>
              <w:rPr>
                <w:color w:val="auto"/>
                <w:sz w:val="24"/>
                <w:szCs w:val="24"/>
              </w:rPr>
              <w:t>Nhãn hàng hóa lưu thông tại Việt Nam phải thể hiện các nội dung bắt buộc, trong đó có tên hàng hóa, tên và địa chỉ của tổ chức, cá nhân chịu trách nhiệm về hàng hóa, xuất xứ hàng hóa và các nội dung bắt buộc khác theo tính chất của hàng hóa. Qua rà soát, pháp luật hiện hành chưa có quy định cụ thể về cơ chế xử lý đối với trường hợp doanh nghiệp đã thay đổi tên nhưng không thay đổi tư cách pháp nhân, mã số thuế, địa chỉ và trách nhiệm pháp lý đối với hàng hóa, trong khi doanh nghiệp còn tồn kho số lượng lớn nhãn, bao bì đã in tên cũ trước thời điểm thay đổi tên. Doanh nghiệp đổi tên tồn kho số lượng lớn bao bì, vỏ lon/chai và nhãn đã in tên cũ, với giá trị lớn. Trường hợp phải tiêu hủy hoặc thay thế ngay toàn bộ bao bì, nhãn đã in, doanh nghiệp sẽ phát sinh chi phí lớn, ảnh hưởng đến kế hoạch sản xuất, cung ứng hàng hóa, việc làm của người lao động và chuỗi cung ứng.</w:t>
            </w:r>
          </w:p>
        </w:tc>
        <w:tc>
          <w:tcPr>
            <w:tcW w:w="1394" w:type="dxa"/>
          </w:tcPr>
          <w:p w14:paraId="4CFCA244">
            <w:pPr>
              <w:jc w:val="center"/>
              <w:rPr>
                <w:color w:val="auto"/>
                <w:sz w:val="24"/>
                <w:szCs w:val="24"/>
              </w:rPr>
            </w:pPr>
            <w:r>
              <w:rPr>
                <w:color w:val="auto"/>
                <w:sz w:val="24"/>
                <w:szCs w:val="24"/>
              </w:rPr>
              <w:t>Văn bản sửa đổi, bổ sung</w:t>
            </w:r>
          </w:p>
        </w:tc>
        <w:tc>
          <w:tcPr>
            <w:tcW w:w="1275" w:type="dxa"/>
          </w:tcPr>
          <w:p w14:paraId="383174B9">
            <w:pPr>
              <w:jc w:val="center"/>
              <w:rPr>
                <w:rFonts w:hint="default"/>
                <w:color w:val="auto"/>
                <w:sz w:val="24"/>
                <w:szCs w:val="24"/>
                <w:lang w:val="en-US"/>
              </w:rPr>
            </w:pPr>
            <w:r>
              <w:rPr>
                <w:rFonts w:hint="default"/>
                <w:color w:val="auto"/>
                <w:sz w:val="24"/>
                <w:szCs w:val="24"/>
                <w:lang w:val="en-US"/>
              </w:rPr>
              <w:t>Tháng 12/2027</w:t>
            </w:r>
          </w:p>
        </w:tc>
        <w:tc>
          <w:tcPr>
            <w:tcW w:w="1245" w:type="dxa"/>
          </w:tcPr>
          <w:p w14:paraId="41258C8B">
            <w:pPr>
              <w:jc w:val="center"/>
              <w:rPr>
                <w:color w:val="auto"/>
                <w:sz w:val="24"/>
                <w:szCs w:val="24"/>
              </w:rPr>
            </w:pPr>
            <w:r>
              <w:rPr>
                <w:color w:val="auto"/>
                <w:sz w:val="24"/>
                <w:szCs w:val="24"/>
              </w:rPr>
              <w:t>Tiêu chí 4, 6</w:t>
            </w:r>
          </w:p>
        </w:tc>
        <w:tc>
          <w:tcPr>
            <w:tcW w:w="1308" w:type="dxa"/>
          </w:tcPr>
          <w:p w14:paraId="11141691">
            <w:pPr>
              <w:jc w:val="center"/>
              <w:rPr>
                <w:color w:val="auto"/>
                <w:sz w:val="24"/>
                <w:szCs w:val="24"/>
              </w:rPr>
            </w:pPr>
            <w:r>
              <w:rPr>
                <w:color w:val="auto"/>
                <w:sz w:val="24"/>
                <w:szCs w:val="24"/>
              </w:rPr>
              <w:t>Mặt trận tổ quốc</w:t>
            </w:r>
          </w:p>
        </w:tc>
        <w:tc>
          <w:tcPr>
            <w:tcW w:w="2410" w:type="dxa"/>
          </w:tcPr>
          <w:p w14:paraId="697EF8C4">
            <w:pPr>
              <w:ind w:firstLine="284"/>
              <w:jc w:val="both"/>
              <w:rPr>
                <w:color w:val="auto"/>
                <w:sz w:val="24"/>
                <w:szCs w:val="24"/>
              </w:rPr>
            </w:pPr>
            <w:r>
              <w:rPr>
                <w:color w:val="auto"/>
                <w:sz w:val="24"/>
                <w:szCs w:val="24"/>
              </w:rPr>
              <w:t>Nhất trí</w:t>
            </w:r>
          </w:p>
        </w:tc>
      </w:tr>
      <w:tr w14:paraId="390D66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 w:hRule="atLeast"/>
          <w:jc w:val="center"/>
        </w:trPr>
        <w:tc>
          <w:tcPr>
            <w:tcW w:w="704" w:type="dxa"/>
          </w:tcPr>
          <w:p w14:paraId="01EEC322">
            <w:pPr>
              <w:numPr>
                <w:ilvl w:val="0"/>
                <w:numId w:val="3"/>
              </w:numPr>
              <w:tabs>
                <w:tab w:val="left" w:pos="425"/>
              </w:tabs>
              <w:jc w:val="center"/>
              <w:rPr>
                <w:color w:val="auto"/>
                <w:sz w:val="24"/>
                <w:szCs w:val="24"/>
              </w:rPr>
            </w:pPr>
          </w:p>
        </w:tc>
        <w:tc>
          <w:tcPr>
            <w:tcW w:w="1843" w:type="dxa"/>
          </w:tcPr>
          <w:p w14:paraId="67C6B1DE">
            <w:pPr>
              <w:jc w:val="both"/>
              <w:rPr>
                <w:color w:val="auto"/>
                <w:sz w:val="24"/>
                <w:szCs w:val="24"/>
              </w:rPr>
            </w:pPr>
            <w:r>
              <w:rPr>
                <w:color w:val="auto"/>
                <w:sz w:val="24"/>
                <w:szCs w:val="24"/>
              </w:rPr>
              <w:t>Quyết định số 36/2010/QĐ-TTg ban hành Quy chế phối hợp giữa các cơ quan kiểm tra chất lượng sản phẩm, hàng hóa</w:t>
            </w:r>
          </w:p>
        </w:tc>
        <w:tc>
          <w:tcPr>
            <w:tcW w:w="1417" w:type="dxa"/>
          </w:tcPr>
          <w:p w14:paraId="1CE650D7">
            <w:pPr>
              <w:jc w:val="both"/>
              <w:rPr>
                <w:color w:val="auto"/>
                <w:sz w:val="24"/>
                <w:szCs w:val="24"/>
              </w:rPr>
            </w:pPr>
            <w:r>
              <w:rPr>
                <w:color w:val="auto"/>
                <w:sz w:val="24"/>
                <w:szCs w:val="24"/>
              </w:rPr>
              <w:t>Nghị định số 37/2026/NĐ-CP ngày 23/01/2026 của Chính phủ quy định chi tiết một số điều và biện pháp để tổ chức, hướng dẫn thi hành Luật Chất lượng sản phẩm, hàng hóa</w:t>
            </w:r>
          </w:p>
        </w:tc>
        <w:tc>
          <w:tcPr>
            <w:tcW w:w="4051" w:type="dxa"/>
          </w:tcPr>
          <w:p w14:paraId="1743C5C6">
            <w:pPr>
              <w:jc w:val="both"/>
              <w:rPr>
                <w:color w:val="auto"/>
                <w:sz w:val="24"/>
                <w:szCs w:val="24"/>
              </w:rPr>
            </w:pPr>
            <w:r>
              <w:rPr>
                <w:color w:val="auto"/>
                <w:sz w:val="24"/>
                <w:szCs w:val="24"/>
              </w:rPr>
              <w:t>Thay thế Quyết định số 36/2010/QĐ-TTg, bảo đảm thống nhất với Luật Ban hành văn bản quy phạm pháp luật năm 2025, Nghị định số 78/2025/NĐ-CP, Nghị định số 79/2025/NĐ-CP được sửa đổi, bổ sung bởi Nghị định số 187/2025/NĐ-CP, Luật Chất lượng sản phẩm, hàng hóa và Nghị định số 37/2026/NĐ-CP.</w:t>
            </w:r>
          </w:p>
          <w:p w14:paraId="34213A8B">
            <w:pPr>
              <w:jc w:val="both"/>
              <w:rPr>
                <w:color w:val="auto"/>
                <w:sz w:val="24"/>
                <w:szCs w:val="24"/>
              </w:rPr>
            </w:pPr>
            <w:r>
              <w:rPr>
                <w:b w:val="0"/>
                <w:bCs w:val="0"/>
                <w:color w:val="auto"/>
                <w:sz w:val="24"/>
                <w:szCs w:val="24"/>
              </w:rPr>
              <w:t>Hiện nay, tại các Luật, Nghị định về chất lượng sản phẩm, hàng hóa đã có nhiều quy định thay đổi theo hướng quản lý ngày càng chuyển mạnh sang ứng dụng công nghệ số, tăng cường hậu kiểm nhưng giảm thiểu việc chồng chéo, trùng lặp trong công tác kiểm tra chuyên ngành. Do đó, việc thay đổi phương thức quản lý mới dẫn đến phương thức kiểm tra chuyên ngành trước đây 100% trực tiếp tại cơ sở không còn phù hợp</w:t>
            </w:r>
          </w:p>
        </w:tc>
        <w:tc>
          <w:tcPr>
            <w:tcW w:w="1394" w:type="dxa"/>
          </w:tcPr>
          <w:p w14:paraId="04A1D462">
            <w:pPr>
              <w:jc w:val="center"/>
              <w:rPr>
                <w:color w:val="auto"/>
                <w:sz w:val="24"/>
                <w:szCs w:val="24"/>
              </w:rPr>
            </w:pPr>
            <w:r>
              <w:rPr>
                <w:color w:val="auto"/>
                <w:sz w:val="24"/>
                <w:szCs w:val="24"/>
              </w:rPr>
              <w:t>Quyết định thay thế</w:t>
            </w:r>
          </w:p>
        </w:tc>
        <w:tc>
          <w:tcPr>
            <w:tcW w:w="1275" w:type="dxa"/>
          </w:tcPr>
          <w:p w14:paraId="63051AD6">
            <w:pPr>
              <w:jc w:val="center"/>
              <w:rPr>
                <w:color w:val="auto"/>
                <w:sz w:val="24"/>
                <w:szCs w:val="24"/>
              </w:rPr>
            </w:pPr>
            <w:r>
              <w:rPr>
                <w:rFonts w:hint="default"/>
                <w:color w:val="auto"/>
                <w:sz w:val="24"/>
                <w:szCs w:val="24"/>
                <w:lang w:val="en-US"/>
              </w:rPr>
              <w:t>Tháng 12/</w:t>
            </w:r>
            <w:r>
              <w:rPr>
                <w:color w:val="auto"/>
                <w:sz w:val="24"/>
                <w:szCs w:val="24"/>
              </w:rPr>
              <w:t>2026</w:t>
            </w:r>
          </w:p>
        </w:tc>
        <w:tc>
          <w:tcPr>
            <w:tcW w:w="1245" w:type="dxa"/>
          </w:tcPr>
          <w:p w14:paraId="13552440">
            <w:pPr>
              <w:jc w:val="center"/>
              <w:rPr>
                <w:color w:val="auto"/>
                <w:sz w:val="24"/>
                <w:szCs w:val="24"/>
              </w:rPr>
            </w:pPr>
            <w:r>
              <w:rPr>
                <w:color w:val="auto"/>
                <w:sz w:val="24"/>
                <w:szCs w:val="24"/>
              </w:rPr>
              <w:t>Tiêu chí 2</w:t>
            </w:r>
          </w:p>
        </w:tc>
        <w:tc>
          <w:tcPr>
            <w:tcW w:w="1308" w:type="dxa"/>
          </w:tcPr>
          <w:p w14:paraId="3D5F3B58">
            <w:pPr>
              <w:jc w:val="center"/>
              <w:rPr>
                <w:color w:val="auto"/>
                <w:sz w:val="24"/>
                <w:szCs w:val="24"/>
              </w:rPr>
            </w:pPr>
          </w:p>
        </w:tc>
        <w:tc>
          <w:tcPr>
            <w:tcW w:w="2410" w:type="dxa"/>
          </w:tcPr>
          <w:p w14:paraId="105FE417">
            <w:pPr>
              <w:ind w:firstLine="284"/>
              <w:jc w:val="both"/>
              <w:rPr>
                <w:color w:val="auto"/>
                <w:sz w:val="24"/>
                <w:szCs w:val="24"/>
              </w:rPr>
            </w:pPr>
            <w:r>
              <w:rPr>
                <w:color w:val="auto"/>
                <w:sz w:val="24"/>
                <w:szCs w:val="24"/>
              </w:rPr>
              <w:t>Cần làm rõ, hoàn thiện thêm các nội dung cần  xử lý tại văn bản được rà soát; phân tích nội dung, lý do cụ thể để “</w:t>
            </w:r>
            <w:r>
              <w:rPr>
                <w:i/>
                <w:iCs/>
                <w:color w:val="auto"/>
                <w:sz w:val="24"/>
                <w:szCs w:val="24"/>
              </w:rPr>
              <w:t>bảm đảm thống nhất</w:t>
            </w:r>
            <w:r>
              <w:rPr>
                <w:color w:val="auto"/>
                <w:sz w:val="24"/>
                <w:szCs w:val="24"/>
              </w:rPr>
              <w:t>”, do đó, cần ban hành văn bản thay thế.</w:t>
            </w:r>
          </w:p>
        </w:tc>
      </w:tr>
      <w:tr w14:paraId="2E3121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38" w:hRule="atLeast"/>
          <w:jc w:val="center"/>
        </w:trPr>
        <w:tc>
          <w:tcPr>
            <w:tcW w:w="704" w:type="dxa"/>
            <w:vMerge w:val="restart"/>
          </w:tcPr>
          <w:p w14:paraId="676DAEA4">
            <w:pPr>
              <w:numPr>
                <w:ilvl w:val="0"/>
                <w:numId w:val="3"/>
              </w:numPr>
              <w:tabs>
                <w:tab w:val="left" w:pos="425"/>
              </w:tabs>
              <w:jc w:val="center"/>
              <w:rPr>
                <w:color w:val="auto"/>
                <w:sz w:val="24"/>
                <w:szCs w:val="24"/>
              </w:rPr>
            </w:pPr>
          </w:p>
        </w:tc>
        <w:tc>
          <w:tcPr>
            <w:tcW w:w="1843" w:type="dxa"/>
            <w:vMerge w:val="restart"/>
          </w:tcPr>
          <w:p w14:paraId="0A4E851F">
            <w:pPr>
              <w:tabs>
                <w:tab w:val="right" w:pos="8640"/>
              </w:tabs>
              <w:jc w:val="both"/>
              <w:rPr>
                <w:color w:val="auto"/>
                <w:sz w:val="24"/>
                <w:szCs w:val="24"/>
              </w:rPr>
            </w:pPr>
            <w:r>
              <w:rPr>
                <w:color w:val="auto"/>
                <w:sz w:val="24"/>
                <w:szCs w:val="24"/>
              </w:rPr>
              <w:t>Quyết định số 19/2014/QĐ-TTg ngày 05/3/2014 của Thủ tướng Chính phủ về việc áp dụng Hệ thống quản lý chất lượng theo TCVN ISO 9001:2008 vào hoạt động của các cơ quan, tổ chức thuộc hệ thống hành chính Nhà nước</w:t>
            </w:r>
          </w:p>
        </w:tc>
        <w:tc>
          <w:tcPr>
            <w:tcW w:w="1417" w:type="dxa"/>
          </w:tcPr>
          <w:p w14:paraId="44F1A623">
            <w:pPr>
              <w:jc w:val="both"/>
              <w:rPr>
                <w:color w:val="auto"/>
                <w:sz w:val="24"/>
                <w:szCs w:val="24"/>
              </w:rPr>
            </w:pPr>
            <w:r>
              <w:rPr>
                <w:color w:val="auto"/>
                <w:sz w:val="24"/>
                <w:szCs w:val="24"/>
              </w:rPr>
              <w:t>Tình hình thực tiễn</w:t>
            </w:r>
          </w:p>
        </w:tc>
        <w:tc>
          <w:tcPr>
            <w:tcW w:w="4051" w:type="dxa"/>
          </w:tcPr>
          <w:p w14:paraId="62CA0C16">
            <w:pPr>
              <w:jc w:val="both"/>
              <w:rPr>
                <w:color w:val="auto"/>
                <w:sz w:val="24"/>
                <w:szCs w:val="24"/>
              </w:rPr>
            </w:pPr>
            <w:r>
              <w:rPr>
                <w:color w:val="auto"/>
                <w:sz w:val="24"/>
                <w:szCs w:val="24"/>
              </w:rPr>
              <w:t xml:space="preserve">- Đối tượng áp dụng: không còn phù hợp với mô hình chính quyền địa phương 2 cấp mới hiện nay </w:t>
            </w:r>
          </w:p>
          <w:p w14:paraId="2E9DB068">
            <w:pPr>
              <w:jc w:val="both"/>
              <w:rPr>
                <w:color w:val="auto"/>
                <w:sz w:val="24"/>
                <w:szCs w:val="24"/>
              </w:rPr>
            </w:pPr>
            <w:r>
              <w:rPr>
                <w:color w:val="auto"/>
                <w:sz w:val="24"/>
                <w:szCs w:val="24"/>
              </w:rPr>
              <w:t xml:space="preserve">- Phạm vi áp dụng hệ thống quản lý chất lượng theo Tiêu chuẩn quốc gia TCVN ISO 9001:2015 (ISO) chủ yếu trong giải quyết TTHC. </w:t>
            </w:r>
          </w:p>
          <w:p w14:paraId="5B992142">
            <w:pPr>
              <w:tabs>
                <w:tab w:val="left" w:pos="3826"/>
                <w:tab w:val="right" w:pos="8640"/>
              </w:tabs>
              <w:ind w:right="-49"/>
              <w:jc w:val="both"/>
              <w:rPr>
                <w:color w:val="auto"/>
                <w:sz w:val="24"/>
                <w:szCs w:val="24"/>
              </w:rPr>
            </w:pPr>
            <w:r>
              <w:rPr>
                <w:color w:val="auto"/>
                <w:sz w:val="24"/>
                <w:szCs w:val="24"/>
              </w:rPr>
              <w:t>- Chưa có hướng dẫn cụ thể về việc khen thưởng cho tập thể, cá nhân có thành tích cao trong thực hiện Quyết định này cũng như các quy định về hình thức xử lý vi phạm nên không có tiêu chí để khen thưởng. (Ban hành Tiêu chí chấm điểm cơ quan xây dựng, áp dụng, duy trì và cải tiến Hệ thống quản lý chất lượng (HTQLCL) theo Tiêu chuẩn quốc gia TCVN ISO 9001để làm căn cứ đề nghị khen thưởng hằng năm. - Ban hành quy định xử lý vi phạm đối với hoạt động xây dựng, áp dụng, duy trì HTQLCL theo Tiêu chuẩn Quốc gia TCVN ISO 9001 tại các cơ quan đơn vị.)</w:t>
            </w:r>
          </w:p>
        </w:tc>
        <w:tc>
          <w:tcPr>
            <w:tcW w:w="1394" w:type="dxa"/>
          </w:tcPr>
          <w:p w14:paraId="36894075">
            <w:pPr>
              <w:jc w:val="center"/>
              <w:rPr>
                <w:color w:val="auto"/>
                <w:sz w:val="24"/>
                <w:szCs w:val="24"/>
              </w:rPr>
            </w:pPr>
            <w:r>
              <w:rPr>
                <w:color w:val="auto"/>
                <w:sz w:val="24"/>
                <w:szCs w:val="24"/>
              </w:rPr>
              <w:t>Quyết định thay thế</w:t>
            </w:r>
          </w:p>
        </w:tc>
        <w:tc>
          <w:tcPr>
            <w:tcW w:w="1275" w:type="dxa"/>
          </w:tcPr>
          <w:p w14:paraId="3CE735EC">
            <w:pPr>
              <w:jc w:val="center"/>
              <w:rPr>
                <w:color w:val="auto"/>
                <w:sz w:val="24"/>
                <w:szCs w:val="24"/>
              </w:rPr>
            </w:pPr>
            <w:r>
              <w:rPr>
                <w:rFonts w:hint="default"/>
                <w:color w:val="auto"/>
                <w:sz w:val="24"/>
                <w:szCs w:val="24"/>
                <w:lang w:val="en-US"/>
              </w:rPr>
              <w:t>Tháng 12/</w:t>
            </w:r>
            <w:r>
              <w:rPr>
                <w:color w:val="auto"/>
                <w:sz w:val="24"/>
                <w:szCs w:val="24"/>
              </w:rPr>
              <w:t>2026</w:t>
            </w:r>
          </w:p>
        </w:tc>
        <w:tc>
          <w:tcPr>
            <w:tcW w:w="1245" w:type="dxa"/>
          </w:tcPr>
          <w:p w14:paraId="2AD1C3C9">
            <w:pPr>
              <w:jc w:val="center"/>
              <w:rPr>
                <w:color w:val="auto"/>
                <w:sz w:val="24"/>
                <w:szCs w:val="24"/>
              </w:rPr>
            </w:pPr>
            <w:r>
              <w:rPr>
                <w:color w:val="auto"/>
                <w:sz w:val="24"/>
                <w:szCs w:val="24"/>
              </w:rPr>
              <w:t>Tiêu chí  5</w:t>
            </w:r>
          </w:p>
        </w:tc>
        <w:tc>
          <w:tcPr>
            <w:tcW w:w="1308" w:type="dxa"/>
            <w:vMerge w:val="restart"/>
          </w:tcPr>
          <w:p w14:paraId="6699F124">
            <w:pPr>
              <w:jc w:val="center"/>
              <w:rPr>
                <w:color w:val="auto"/>
                <w:sz w:val="24"/>
                <w:szCs w:val="24"/>
              </w:rPr>
            </w:pPr>
          </w:p>
        </w:tc>
        <w:tc>
          <w:tcPr>
            <w:tcW w:w="2410" w:type="dxa"/>
          </w:tcPr>
          <w:p w14:paraId="63323228">
            <w:pPr>
              <w:ind w:firstLine="284"/>
              <w:jc w:val="both"/>
              <w:rPr>
                <w:color w:val="auto"/>
                <w:sz w:val="24"/>
                <w:szCs w:val="24"/>
              </w:rPr>
            </w:pPr>
            <w:r>
              <w:rPr>
                <w:color w:val="auto"/>
                <w:sz w:val="24"/>
                <w:szCs w:val="24"/>
              </w:rPr>
              <w:t>Nhất trí.</w:t>
            </w:r>
          </w:p>
        </w:tc>
      </w:tr>
      <w:tr w14:paraId="6E753B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94" w:hRule="atLeast"/>
          <w:jc w:val="center"/>
        </w:trPr>
        <w:tc>
          <w:tcPr>
            <w:tcW w:w="704" w:type="dxa"/>
            <w:vMerge w:val="continue"/>
          </w:tcPr>
          <w:p w14:paraId="768300F9">
            <w:pPr>
              <w:widowControl w:val="0"/>
              <w:spacing w:line="276" w:lineRule="auto"/>
              <w:rPr>
                <w:color w:val="auto"/>
                <w:sz w:val="24"/>
                <w:szCs w:val="24"/>
              </w:rPr>
            </w:pPr>
          </w:p>
        </w:tc>
        <w:tc>
          <w:tcPr>
            <w:tcW w:w="1843" w:type="dxa"/>
            <w:vMerge w:val="continue"/>
          </w:tcPr>
          <w:p w14:paraId="477640F1">
            <w:pPr>
              <w:widowControl w:val="0"/>
              <w:spacing w:line="276" w:lineRule="auto"/>
              <w:rPr>
                <w:color w:val="auto"/>
                <w:sz w:val="24"/>
                <w:szCs w:val="24"/>
              </w:rPr>
            </w:pPr>
          </w:p>
        </w:tc>
        <w:tc>
          <w:tcPr>
            <w:tcW w:w="1417" w:type="dxa"/>
          </w:tcPr>
          <w:p w14:paraId="46112AD4">
            <w:pPr>
              <w:jc w:val="both"/>
              <w:rPr>
                <w:color w:val="auto"/>
                <w:sz w:val="24"/>
                <w:szCs w:val="24"/>
              </w:rPr>
            </w:pPr>
            <w:r>
              <w:rPr>
                <w:color w:val="auto"/>
                <w:sz w:val="24"/>
                <w:szCs w:val="24"/>
              </w:rPr>
              <w:t>Tình hình thực tiễn</w:t>
            </w:r>
          </w:p>
        </w:tc>
        <w:tc>
          <w:tcPr>
            <w:tcW w:w="4051" w:type="dxa"/>
          </w:tcPr>
          <w:p w14:paraId="005ED3C6">
            <w:pPr>
              <w:jc w:val="both"/>
              <w:rPr>
                <w:color w:val="auto"/>
                <w:sz w:val="24"/>
                <w:szCs w:val="24"/>
              </w:rPr>
            </w:pPr>
            <w:r>
              <w:rPr>
                <w:color w:val="auto"/>
                <w:sz w:val="24"/>
                <w:szCs w:val="24"/>
              </w:rPr>
              <w:t>Chưa có hình thức khen thưởng để khuyến khích, động viên cơ quan, cá nhân có thành tích; chưa có chế tài xử lý vi phạm trong xây dựng, áp dụng, duy trì và cải tiến HTQLCL theo TCVN ISO 9001; chưa có hướng dẫn ứng dụng công nghệ thông tin nên việc triển khai tại bộ, ngành, địa phương chưa đồng bộ, thống nhất, hiệu quả; chưa có tiêu chí chung để chấm điểm, đánh giá việc xây dựng, áp dụng HTQLCL làm căn cứ đề xuất khen thưởng. Việc không còn chấm điểm hoạt động ISO 9001 trong chỉ số cải cách hành chính làm giảm động lực thúc đẩy hoạt động này.</w:t>
            </w:r>
          </w:p>
        </w:tc>
        <w:tc>
          <w:tcPr>
            <w:tcW w:w="1394" w:type="dxa"/>
          </w:tcPr>
          <w:p w14:paraId="71F5FFE9">
            <w:pPr>
              <w:jc w:val="center"/>
              <w:rPr>
                <w:color w:val="auto"/>
                <w:sz w:val="24"/>
                <w:szCs w:val="24"/>
              </w:rPr>
            </w:pPr>
          </w:p>
        </w:tc>
        <w:tc>
          <w:tcPr>
            <w:tcW w:w="1275" w:type="dxa"/>
          </w:tcPr>
          <w:p w14:paraId="26C262FF">
            <w:pPr>
              <w:jc w:val="center"/>
              <w:rPr>
                <w:color w:val="auto"/>
                <w:sz w:val="24"/>
                <w:szCs w:val="24"/>
              </w:rPr>
            </w:pPr>
            <w:r>
              <w:rPr>
                <w:rFonts w:hint="default"/>
                <w:color w:val="auto"/>
                <w:sz w:val="24"/>
                <w:szCs w:val="24"/>
                <w:lang w:val="en-US"/>
              </w:rPr>
              <w:t>Tháng 12/</w:t>
            </w:r>
            <w:r>
              <w:rPr>
                <w:color w:val="auto"/>
                <w:sz w:val="24"/>
                <w:szCs w:val="24"/>
              </w:rPr>
              <w:t>2026</w:t>
            </w:r>
          </w:p>
        </w:tc>
        <w:tc>
          <w:tcPr>
            <w:tcW w:w="1245" w:type="dxa"/>
          </w:tcPr>
          <w:p w14:paraId="3D48F4BC">
            <w:pPr>
              <w:jc w:val="center"/>
              <w:rPr>
                <w:color w:val="auto"/>
                <w:sz w:val="24"/>
                <w:szCs w:val="24"/>
              </w:rPr>
            </w:pPr>
            <w:r>
              <w:rPr>
                <w:color w:val="auto"/>
                <w:sz w:val="24"/>
                <w:szCs w:val="24"/>
              </w:rPr>
              <w:t>Tiêu chí  6</w:t>
            </w:r>
          </w:p>
        </w:tc>
        <w:tc>
          <w:tcPr>
            <w:tcW w:w="1308" w:type="dxa"/>
            <w:vMerge w:val="continue"/>
          </w:tcPr>
          <w:p w14:paraId="68BA9B99">
            <w:pPr>
              <w:widowControl w:val="0"/>
              <w:spacing w:line="276" w:lineRule="auto"/>
              <w:rPr>
                <w:color w:val="auto"/>
                <w:sz w:val="24"/>
                <w:szCs w:val="24"/>
              </w:rPr>
            </w:pPr>
          </w:p>
        </w:tc>
        <w:tc>
          <w:tcPr>
            <w:tcW w:w="2410" w:type="dxa"/>
          </w:tcPr>
          <w:p w14:paraId="2A6B7CF8">
            <w:pPr>
              <w:widowControl w:val="0"/>
              <w:spacing w:line="276" w:lineRule="auto"/>
              <w:ind w:firstLine="284"/>
              <w:jc w:val="both"/>
              <w:rPr>
                <w:color w:val="auto"/>
                <w:sz w:val="24"/>
                <w:szCs w:val="24"/>
              </w:rPr>
            </w:pPr>
            <w:r>
              <w:rPr>
                <w:color w:val="auto"/>
                <w:sz w:val="24"/>
                <w:szCs w:val="24"/>
              </w:rPr>
              <w:t>Nhất trí.</w:t>
            </w:r>
          </w:p>
        </w:tc>
      </w:tr>
      <w:tr w14:paraId="2466A7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04" w:type="dxa"/>
          </w:tcPr>
          <w:p w14:paraId="5D20B050">
            <w:pPr>
              <w:numPr>
                <w:ilvl w:val="0"/>
                <w:numId w:val="3"/>
              </w:numPr>
              <w:tabs>
                <w:tab w:val="left" w:pos="425"/>
              </w:tabs>
              <w:jc w:val="center"/>
              <w:rPr>
                <w:color w:val="auto"/>
                <w:sz w:val="24"/>
                <w:szCs w:val="24"/>
              </w:rPr>
            </w:pPr>
          </w:p>
        </w:tc>
        <w:tc>
          <w:tcPr>
            <w:tcW w:w="1843" w:type="dxa"/>
          </w:tcPr>
          <w:p w14:paraId="00255144">
            <w:pPr>
              <w:tabs>
                <w:tab w:val="right" w:pos="8640"/>
              </w:tabs>
              <w:jc w:val="both"/>
              <w:rPr>
                <w:color w:val="auto"/>
                <w:sz w:val="24"/>
                <w:szCs w:val="24"/>
              </w:rPr>
            </w:pPr>
            <w:r>
              <w:rPr>
                <w:color w:val="auto"/>
                <w:sz w:val="24"/>
                <w:szCs w:val="24"/>
              </w:rPr>
              <w:t>Quyết định số 46/2017/QĐ-TTg của Thủ tướng Chính phủ ban hành Quy chế tổ chức và hoạt động của Mạng lưới các cơ quan thông báo và hỏi đáp và Ban liên ngành về hàng rào kỹ thuật trong thương mại.</w:t>
            </w:r>
          </w:p>
        </w:tc>
        <w:tc>
          <w:tcPr>
            <w:tcW w:w="1417" w:type="dxa"/>
          </w:tcPr>
          <w:p w14:paraId="4985CD35">
            <w:pPr>
              <w:jc w:val="both"/>
              <w:rPr>
                <w:color w:val="auto"/>
                <w:sz w:val="24"/>
                <w:szCs w:val="24"/>
              </w:rPr>
            </w:pPr>
            <w:r>
              <w:rPr>
                <w:color w:val="auto"/>
                <w:sz w:val="24"/>
                <w:szCs w:val="24"/>
              </w:rPr>
              <w:t>Nghị quyết số 57-NQ/TW, Chỉ thị số 38-CT/TW, Nghị quyết số 59-NQ/TW, và yêu cầu tại Luật số 70/2025/QH15, Nghị định số 22/2026/NĐ-CP</w:t>
            </w:r>
          </w:p>
          <w:p w14:paraId="666235FC">
            <w:pPr>
              <w:jc w:val="both"/>
              <w:rPr>
                <w:color w:val="auto"/>
                <w:sz w:val="24"/>
                <w:szCs w:val="24"/>
              </w:rPr>
            </w:pPr>
          </w:p>
        </w:tc>
        <w:tc>
          <w:tcPr>
            <w:tcW w:w="4051" w:type="dxa"/>
          </w:tcPr>
          <w:p w14:paraId="0DD3A3FE">
            <w:pPr>
              <w:jc w:val="both"/>
              <w:rPr>
                <w:color w:val="auto"/>
                <w:sz w:val="24"/>
                <w:szCs w:val="24"/>
              </w:rPr>
            </w:pPr>
            <w:r>
              <w:rPr>
                <w:color w:val="auto"/>
                <w:sz w:val="24"/>
                <w:szCs w:val="24"/>
              </w:rPr>
              <w:t>- Khoản 1 Điều 3 Quy chế kèm theo.</w:t>
            </w:r>
          </w:p>
          <w:p w14:paraId="48FF0176">
            <w:pPr>
              <w:jc w:val="both"/>
              <w:rPr>
                <w:color w:val="auto"/>
                <w:sz w:val="24"/>
                <w:szCs w:val="24"/>
              </w:rPr>
            </w:pPr>
            <w:r>
              <w:rPr>
                <w:color w:val="auto"/>
                <w:sz w:val="24"/>
                <w:szCs w:val="24"/>
              </w:rPr>
              <w:t>- Điều 4, Điều 10, Điều 15, Chương II Quy chế kèm  theo.</w:t>
            </w:r>
          </w:p>
          <w:p w14:paraId="3D737B46">
            <w:pPr>
              <w:jc w:val="both"/>
              <w:rPr>
                <w:color w:val="auto"/>
                <w:sz w:val="24"/>
                <w:szCs w:val="24"/>
              </w:rPr>
            </w:pPr>
            <w:r>
              <w:rPr>
                <w:color w:val="auto"/>
                <w:sz w:val="24"/>
                <w:szCs w:val="24"/>
              </w:rPr>
              <w:t>- Điều 8, Điều 9, Điều 11 Chương III Quy chế kèm  theo.</w:t>
            </w:r>
          </w:p>
          <w:p w14:paraId="29C7B125">
            <w:pPr>
              <w:jc w:val="both"/>
              <w:rPr>
                <w:color w:val="auto"/>
                <w:sz w:val="24"/>
                <w:szCs w:val="24"/>
              </w:rPr>
            </w:pPr>
            <w:r>
              <w:rPr>
                <w:color w:val="auto"/>
                <w:sz w:val="24"/>
                <w:szCs w:val="24"/>
              </w:rPr>
              <w:t xml:space="preserve">Cơ bản phù hợp, tuy nhiên, cần được nghiên cứu sửa đổi, bổ sung để thể chế hóa đầy đủ hơn các định hướng mới: về khoa học công nghệ, đổi mới sáng tạo, chuyển đổi số và phát triển hạ tầng chất lượng quốc gia </w:t>
            </w:r>
          </w:p>
          <w:p w14:paraId="6AEB487C">
            <w:pPr>
              <w:jc w:val="both"/>
              <w:rPr>
                <w:b w:val="0"/>
                <w:bCs w:val="0"/>
                <w:color w:val="auto"/>
                <w:sz w:val="22"/>
                <w:szCs w:val="22"/>
              </w:rPr>
            </w:pPr>
            <w:r>
              <w:rPr>
                <w:b w:val="0"/>
                <w:bCs w:val="0"/>
                <w:color w:val="auto"/>
                <w:sz w:val="22"/>
                <w:szCs w:val="22"/>
              </w:rPr>
              <w:t>Quyết định số 46/2017/QĐ-TTg không còn phù hợp với hệ thống pháp luật mới và cơ cấu tổ chức của các bộ, ngành, địa phương sau sắp xếp, làm cho nhiều quy định về tổ chức và cơ chế phối hợp không còn khả thi.</w:t>
            </w:r>
          </w:p>
          <w:p w14:paraId="5F48B2D5">
            <w:pPr>
              <w:jc w:val="both"/>
              <w:rPr>
                <w:b w:val="0"/>
                <w:bCs w:val="0"/>
                <w:color w:val="auto"/>
                <w:sz w:val="22"/>
                <w:szCs w:val="22"/>
              </w:rPr>
            </w:pPr>
            <w:r>
              <w:rPr>
                <w:b w:val="0"/>
                <w:bCs w:val="0"/>
                <w:color w:val="auto"/>
                <w:sz w:val="22"/>
                <w:szCs w:val="22"/>
              </w:rPr>
              <w:t>Dự thảo phải sửa đổi toàn diện các nội dung cốt lõi, gồm mô hình Mạng lưới TBT, trách nhiệm của các đầu mối, cơ chế xử lý vấn đề liên ngành, cảnh báo và bảo vệ lợi ích thương mại, hỗ trợ doanh nghiệp, chuyển đổi số và cơ sở dữ liệu TBT.</w:t>
            </w:r>
          </w:p>
          <w:p w14:paraId="45FDDBBD">
            <w:pPr>
              <w:jc w:val="both"/>
              <w:rPr>
                <w:color w:val="auto"/>
                <w:sz w:val="24"/>
                <w:szCs w:val="24"/>
              </w:rPr>
            </w:pPr>
            <w:r>
              <w:rPr>
                <w:b w:val="0"/>
                <w:bCs w:val="0"/>
                <w:color w:val="auto"/>
                <w:sz w:val="22"/>
                <w:szCs w:val="22"/>
              </w:rPr>
              <w:t>Việc ban hành Quyết định thay thế là cần thiết để bảo đảm tính thống nhất, đồng bộ, minh bạch và khả thi theo pháp luật về ban hành văn bản quy phạm pháp luật.</w:t>
            </w:r>
          </w:p>
        </w:tc>
        <w:tc>
          <w:tcPr>
            <w:tcW w:w="1394" w:type="dxa"/>
          </w:tcPr>
          <w:p w14:paraId="18034F25">
            <w:pPr>
              <w:jc w:val="center"/>
              <w:rPr>
                <w:color w:val="auto"/>
                <w:sz w:val="24"/>
                <w:szCs w:val="24"/>
              </w:rPr>
            </w:pPr>
            <w:r>
              <w:rPr>
                <w:color w:val="auto"/>
                <w:sz w:val="24"/>
                <w:szCs w:val="24"/>
              </w:rPr>
              <w:t>Thay thế</w:t>
            </w:r>
          </w:p>
        </w:tc>
        <w:tc>
          <w:tcPr>
            <w:tcW w:w="1275" w:type="dxa"/>
          </w:tcPr>
          <w:p w14:paraId="38BCE21A">
            <w:pPr>
              <w:jc w:val="center"/>
              <w:rPr>
                <w:color w:val="auto"/>
                <w:sz w:val="24"/>
                <w:szCs w:val="24"/>
              </w:rPr>
            </w:pPr>
            <w:r>
              <w:rPr>
                <w:rFonts w:hint="default"/>
                <w:color w:val="auto"/>
                <w:sz w:val="24"/>
                <w:szCs w:val="24"/>
                <w:lang w:val="en-US"/>
              </w:rPr>
              <w:t>Tháng 12/</w:t>
            </w:r>
            <w:r>
              <w:rPr>
                <w:color w:val="auto"/>
                <w:sz w:val="24"/>
                <w:szCs w:val="24"/>
              </w:rPr>
              <w:t>2026</w:t>
            </w:r>
          </w:p>
        </w:tc>
        <w:tc>
          <w:tcPr>
            <w:tcW w:w="1245" w:type="dxa"/>
          </w:tcPr>
          <w:p w14:paraId="444704FE">
            <w:pPr>
              <w:jc w:val="center"/>
              <w:rPr>
                <w:color w:val="auto"/>
                <w:sz w:val="24"/>
                <w:szCs w:val="24"/>
              </w:rPr>
            </w:pPr>
            <w:r>
              <w:rPr>
                <w:color w:val="auto"/>
                <w:sz w:val="24"/>
                <w:szCs w:val="24"/>
              </w:rPr>
              <w:t>Tiêu chí 1.2</w:t>
            </w:r>
          </w:p>
        </w:tc>
        <w:tc>
          <w:tcPr>
            <w:tcW w:w="1308" w:type="dxa"/>
          </w:tcPr>
          <w:p w14:paraId="447908F6">
            <w:pPr>
              <w:jc w:val="center"/>
              <w:rPr>
                <w:color w:val="auto"/>
                <w:sz w:val="24"/>
                <w:szCs w:val="24"/>
              </w:rPr>
            </w:pPr>
          </w:p>
        </w:tc>
        <w:tc>
          <w:tcPr>
            <w:tcW w:w="2410" w:type="dxa"/>
          </w:tcPr>
          <w:p w14:paraId="71021770">
            <w:pPr>
              <w:ind w:firstLine="284"/>
              <w:jc w:val="both"/>
              <w:rPr>
                <w:color w:val="auto"/>
                <w:sz w:val="24"/>
                <w:szCs w:val="24"/>
              </w:rPr>
            </w:pPr>
            <w:r>
              <w:rPr>
                <w:color w:val="auto"/>
                <w:sz w:val="24"/>
                <w:szCs w:val="24"/>
              </w:rPr>
              <w:t>Được đánh giá theo Báo cáo chuyên đề của Bộ Khoa học và Công nghệ (cần làm rõ, hoàn thiện thêm các nội dung cần  xử lý xử lý tại văn bản được rà soát; chỉnh lý tên văn bản là căn cứ rà soát cho đầy đủ).</w:t>
            </w:r>
          </w:p>
        </w:tc>
      </w:tr>
      <w:tr w14:paraId="620D3E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04" w:type="dxa"/>
          </w:tcPr>
          <w:p w14:paraId="25D7B863">
            <w:pPr>
              <w:numPr>
                <w:ilvl w:val="0"/>
                <w:numId w:val="3"/>
              </w:numPr>
              <w:tabs>
                <w:tab w:val="left" w:pos="425"/>
              </w:tabs>
              <w:jc w:val="center"/>
              <w:rPr>
                <w:color w:val="auto"/>
                <w:sz w:val="24"/>
                <w:szCs w:val="24"/>
              </w:rPr>
            </w:pPr>
          </w:p>
        </w:tc>
        <w:tc>
          <w:tcPr>
            <w:tcW w:w="1843" w:type="dxa"/>
          </w:tcPr>
          <w:p w14:paraId="47F06125">
            <w:pPr>
              <w:tabs>
                <w:tab w:val="right" w:pos="8640"/>
              </w:tabs>
              <w:jc w:val="both"/>
              <w:rPr>
                <w:color w:val="auto"/>
                <w:sz w:val="24"/>
                <w:szCs w:val="24"/>
              </w:rPr>
            </w:pPr>
            <w:r>
              <w:rPr>
                <w:color w:val="auto"/>
                <w:sz w:val="24"/>
                <w:szCs w:val="24"/>
              </w:rPr>
              <w:t>Thông tư 15/2009/TT-BKHCN ngày 02/6/2009 Hướng dẫn trình tự, thủ tục đăng ký việc sử dụng phụ gia không thông dụng để sản xuất, chế biến, pha chế xăng, nhiên liệu điêzen.</w:t>
            </w:r>
          </w:p>
        </w:tc>
        <w:tc>
          <w:tcPr>
            <w:tcW w:w="1417" w:type="dxa"/>
          </w:tcPr>
          <w:p w14:paraId="6937DA68">
            <w:pPr>
              <w:jc w:val="both"/>
              <w:rPr>
                <w:color w:val="auto"/>
                <w:sz w:val="24"/>
                <w:szCs w:val="24"/>
              </w:rPr>
            </w:pPr>
            <w:r>
              <w:rPr>
                <w:color w:val="auto"/>
                <w:sz w:val="24"/>
                <w:szCs w:val="24"/>
              </w:rPr>
              <w:t>Tình hình thực tiễn</w:t>
            </w:r>
          </w:p>
        </w:tc>
        <w:tc>
          <w:tcPr>
            <w:tcW w:w="4051" w:type="dxa"/>
          </w:tcPr>
          <w:p w14:paraId="7FA59DEC">
            <w:pPr>
              <w:jc w:val="both"/>
              <w:rPr>
                <w:color w:val="auto"/>
                <w:sz w:val="24"/>
                <w:szCs w:val="24"/>
              </w:rPr>
            </w:pPr>
            <w:r>
              <w:rPr>
                <w:color w:val="auto"/>
                <w:sz w:val="24"/>
                <w:szCs w:val="24"/>
              </w:rPr>
              <w:t>Hầu hết phụ gia xăng dầu đều có nguồn gốc nước ngoài, là các sản phẩm, hàng hóa quốc tế đã được các nước có công nghệ tiên tiến như G7 công nhận và chấp thuận cho lưu thông, sử dụng. Do đó, việc Việt Nam quy định phải đăng ký để được công nhận lại khi sử dụng phụ gia tại Việt Nam sẽ gây kéo dài thời gian đưa phụ gia vào sử dụng, chậm đưa những thành tựu tiến bộ của thế giới vào áp dụng tại nước ta.</w:t>
            </w:r>
          </w:p>
          <w:p w14:paraId="1CB886F6">
            <w:pPr>
              <w:jc w:val="both"/>
              <w:rPr>
                <w:color w:val="auto"/>
                <w:sz w:val="24"/>
                <w:szCs w:val="24"/>
              </w:rPr>
            </w:pPr>
            <w:r>
              <w:rPr>
                <w:color w:val="auto"/>
                <w:sz w:val="24"/>
                <w:szCs w:val="24"/>
              </w:rPr>
              <w:t>Theo thông lệ các nước tiên tiến, cơ quan quản lý nhà nước cấp phép đối với từng phụ gia cụ thể của đơn vị sản xuất phụ gia; khi phụ gia đã được cấp phép thì các đơn vị sử dụng phụ gia được quyền mua và sử dụng mà không phải xin cấp phép lại. Như vậy, đối tượng phải xin cấp phép phụ gia là đơn vị sản xuất phụ gia chứ không phải là đơn vị sử dụng phụ gia.</w:t>
            </w:r>
          </w:p>
          <w:p w14:paraId="71D1BF31">
            <w:pPr>
              <w:jc w:val="both"/>
              <w:rPr>
                <w:color w:val="auto"/>
                <w:sz w:val="24"/>
                <w:szCs w:val="24"/>
              </w:rPr>
            </w:pPr>
            <w:r>
              <w:rPr>
                <w:b w:val="0"/>
                <w:bCs w:val="0"/>
                <w:color w:val="auto"/>
                <w:sz w:val="24"/>
                <w:szCs w:val="24"/>
              </w:rPr>
              <w:t>Qua thực tiễn thi hành, các quy định về khái niệm phụ gia không thông dụng, điều kiện, thành phần hồ sơ, thí điểm, thẩm định và chấp thuận còn thiếu rõ ràng, trùng lặp, chưa quy định đầy đủ tiêu chí kỹ thuật, thời hạn giải quyết, quản lý thay đổi, đình chỉ, thu hồi và giám sát sau chấp thuận; đồng thời chưa bảo đảm sự thống nhất giữa xăng dầu sản xuất, pha chế trong nước và xăng dầu nhập khẩu.</w:t>
            </w:r>
          </w:p>
        </w:tc>
        <w:tc>
          <w:tcPr>
            <w:tcW w:w="1394" w:type="dxa"/>
          </w:tcPr>
          <w:p w14:paraId="0A17CF84">
            <w:pPr>
              <w:jc w:val="center"/>
              <w:rPr>
                <w:color w:val="auto"/>
                <w:sz w:val="24"/>
                <w:szCs w:val="24"/>
              </w:rPr>
            </w:pPr>
            <w:r>
              <w:rPr>
                <w:rFonts w:hint="default"/>
                <w:color w:val="auto"/>
                <w:sz w:val="24"/>
                <w:szCs w:val="24"/>
                <w:lang w:val="en-US"/>
              </w:rPr>
              <w:t>T</w:t>
            </w:r>
            <w:r>
              <w:rPr>
                <w:color w:val="auto"/>
                <w:sz w:val="24"/>
                <w:szCs w:val="24"/>
              </w:rPr>
              <w:t>hay thế</w:t>
            </w:r>
          </w:p>
        </w:tc>
        <w:tc>
          <w:tcPr>
            <w:tcW w:w="1275" w:type="dxa"/>
          </w:tcPr>
          <w:p w14:paraId="684B3EE7">
            <w:pPr>
              <w:jc w:val="center"/>
              <w:rPr>
                <w:color w:val="auto"/>
                <w:sz w:val="24"/>
                <w:szCs w:val="24"/>
              </w:rPr>
            </w:pPr>
            <w:r>
              <w:rPr>
                <w:rFonts w:hint="default"/>
                <w:color w:val="auto"/>
                <w:sz w:val="24"/>
                <w:szCs w:val="24"/>
                <w:lang w:val="en-US"/>
              </w:rPr>
              <w:t>Tháng 12/</w:t>
            </w:r>
            <w:r>
              <w:rPr>
                <w:color w:val="auto"/>
                <w:sz w:val="24"/>
                <w:szCs w:val="24"/>
              </w:rPr>
              <w:t>2026</w:t>
            </w:r>
          </w:p>
        </w:tc>
        <w:tc>
          <w:tcPr>
            <w:tcW w:w="1245" w:type="dxa"/>
          </w:tcPr>
          <w:p w14:paraId="4D225E16">
            <w:pPr>
              <w:jc w:val="center"/>
              <w:rPr>
                <w:color w:val="auto"/>
                <w:sz w:val="24"/>
                <w:szCs w:val="24"/>
              </w:rPr>
            </w:pPr>
            <w:r>
              <w:rPr>
                <w:color w:val="auto"/>
                <w:sz w:val="24"/>
                <w:szCs w:val="24"/>
              </w:rPr>
              <w:t>Tiêu chí  5</w:t>
            </w:r>
          </w:p>
        </w:tc>
        <w:tc>
          <w:tcPr>
            <w:tcW w:w="1308" w:type="dxa"/>
          </w:tcPr>
          <w:p w14:paraId="2D1795C6">
            <w:pPr>
              <w:jc w:val="center"/>
              <w:rPr>
                <w:color w:val="auto"/>
                <w:sz w:val="24"/>
                <w:szCs w:val="24"/>
              </w:rPr>
            </w:pPr>
          </w:p>
        </w:tc>
        <w:tc>
          <w:tcPr>
            <w:tcW w:w="2410" w:type="dxa"/>
          </w:tcPr>
          <w:p w14:paraId="0754AB54">
            <w:pPr>
              <w:ind w:firstLine="284"/>
              <w:jc w:val="both"/>
              <w:rPr>
                <w:color w:val="auto"/>
                <w:sz w:val="24"/>
                <w:szCs w:val="24"/>
              </w:rPr>
            </w:pPr>
            <w:r>
              <w:rPr>
                <w:color w:val="auto"/>
                <w:sz w:val="24"/>
                <w:szCs w:val="24"/>
              </w:rPr>
              <w:t>Cần làm rõ, hoàn thiện thêm các nội dung cần  xử lý xử lý tại văn bản được rà soát.</w:t>
            </w:r>
          </w:p>
        </w:tc>
      </w:tr>
      <w:tr w14:paraId="088EE9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04" w:type="dxa"/>
          </w:tcPr>
          <w:p w14:paraId="7575182A">
            <w:pPr>
              <w:numPr>
                <w:ilvl w:val="0"/>
                <w:numId w:val="3"/>
              </w:numPr>
              <w:tabs>
                <w:tab w:val="left" w:pos="425"/>
              </w:tabs>
              <w:jc w:val="center"/>
              <w:rPr>
                <w:color w:val="auto"/>
                <w:sz w:val="24"/>
                <w:szCs w:val="24"/>
              </w:rPr>
            </w:pPr>
          </w:p>
        </w:tc>
        <w:tc>
          <w:tcPr>
            <w:tcW w:w="1843" w:type="dxa"/>
          </w:tcPr>
          <w:p w14:paraId="51D22DA1">
            <w:pPr>
              <w:tabs>
                <w:tab w:val="right" w:pos="8640"/>
              </w:tabs>
              <w:jc w:val="both"/>
              <w:rPr>
                <w:color w:val="auto"/>
                <w:sz w:val="24"/>
                <w:szCs w:val="24"/>
              </w:rPr>
            </w:pPr>
            <w:r>
              <w:rPr>
                <w:color w:val="auto"/>
                <w:sz w:val="24"/>
                <w:szCs w:val="24"/>
              </w:rPr>
              <w:t>Thông tư số 20/2012/TT-BKHCN ngày 20/11/2012 hướng dẫn chi tiết điều kiện, trình tự và thủ tục công nhận Phòng thí nghiệm nghiên cứu về sinh vật biến đổi gen</w:t>
            </w:r>
          </w:p>
        </w:tc>
        <w:tc>
          <w:tcPr>
            <w:tcW w:w="1417" w:type="dxa"/>
          </w:tcPr>
          <w:p w14:paraId="646FF026">
            <w:pPr>
              <w:jc w:val="both"/>
              <w:rPr>
                <w:rFonts w:hint="default"/>
                <w:color w:val="auto"/>
                <w:sz w:val="24"/>
                <w:szCs w:val="24"/>
                <w:lang w:val="en-US"/>
              </w:rPr>
            </w:pPr>
            <w:r>
              <w:rPr>
                <w:color w:val="auto"/>
                <w:sz w:val="24"/>
                <w:szCs w:val="24"/>
              </w:rPr>
              <w:t>Nghị định số 89/2021/NĐ-CP</w:t>
            </w:r>
            <w:r>
              <w:rPr>
                <w:rFonts w:hint="default"/>
                <w:b w:val="0"/>
                <w:bCs w:val="0"/>
                <w:color w:val="auto"/>
                <w:sz w:val="24"/>
                <w:szCs w:val="24"/>
                <w:lang w:val="en-US"/>
              </w:rPr>
              <w:t xml:space="preserve"> </w:t>
            </w:r>
            <w:r>
              <w:rPr>
                <w:b w:val="0"/>
                <w:bCs w:val="0"/>
                <w:color w:val="auto"/>
                <w:sz w:val="24"/>
                <w:szCs w:val="24"/>
              </w:rPr>
              <w:t>ngày 18/10/2021  sửa đổi một số điều của Nghị định số 101/2017/NĐ-CP ngày 01/9/2017 của Chính phủ về đào tạo, bồi dưỡng cán bộ, công chức, viên chức</w:t>
            </w:r>
          </w:p>
        </w:tc>
        <w:tc>
          <w:tcPr>
            <w:tcW w:w="4051" w:type="dxa"/>
            <w:vMerge w:val="restart"/>
          </w:tcPr>
          <w:p w14:paraId="176641A7">
            <w:pPr>
              <w:tabs>
                <w:tab w:val="right" w:pos="8640"/>
              </w:tabs>
              <w:ind w:right="123"/>
              <w:jc w:val="both"/>
              <w:rPr>
                <w:color w:val="auto"/>
                <w:sz w:val="24"/>
                <w:szCs w:val="24"/>
              </w:rPr>
            </w:pPr>
            <w:r>
              <w:rPr>
                <w:color w:val="auto"/>
                <w:sz w:val="24"/>
                <w:szCs w:val="24"/>
              </w:rPr>
              <w:t>Để được cấp Giấy chứng nhận Phòng thí nghiệm nghiên cứu về sinh vật biến đổi gen, khoản 2  Điều 6 Thông tư số 20/2012/TT-BKHCN quy định các cán bộ khoa học và kỹ thuật viên Phòng thí nghiệm phải có Chứng chỉ về tập huấn an toàn sinh học do cơ quan được Bộ Khoa học và Công nghệ ủy quyền cấp.</w:t>
            </w:r>
          </w:p>
          <w:p w14:paraId="653121E6">
            <w:pPr>
              <w:tabs>
                <w:tab w:val="right" w:pos="8640"/>
              </w:tabs>
              <w:ind w:right="123"/>
              <w:jc w:val="both"/>
              <w:rPr>
                <w:color w:val="auto"/>
                <w:sz w:val="24"/>
                <w:szCs w:val="24"/>
              </w:rPr>
            </w:pPr>
            <w:r>
              <w:rPr>
                <w:color w:val="auto"/>
                <w:sz w:val="24"/>
                <w:szCs w:val="24"/>
              </w:rPr>
              <w:t>Tuy nhiên, theo Nghị định số 89/2021/NĐ-CP ngày 18/10/2021  sửa đổi một số điều của Nghị định số 101/2017/NĐ-CP ngày 01/9/2017 không có quy định về các lớp tập huấn, chỉ có cấp chứng chỉ đối với các chương trình bồi dưỡng. Vì vậy, các cán bộ không được tập huấn.</w:t>
            </w:r>
          </w:p>
          <w:p w14:paraId="05D6570A">
            <w:pPr>
              <w:tabs>
                <w:tab w:val="right" w:pos="8640"/>
              </w:tabs>
              <w:jc w:val="both"/>
              <w:rPr>
                <w:rFonts w:hint="default"/>
                <w:color w:val="auto"/>
                <w:sz w:val="24"/>
                <w:szCs w:val="24"/>
                <w:lang w:val="en-US"/>
              </w:rPr>
            </w:pPr>
            <w:r>
              <w:rPr>
                <w:color w:val="auto"/>
                <w:sz w:val="24"/>
                <w:szCs w:val="24"/>
              </w:rPr>
              <w:t>Hiện nay đang có rất nhiều các đơn vị nghiên cứu, viện, trường, trung tâm là những đơn vị thuộc đối tượng viên chức đang có nhu cầu cấp mới và cấp lại Giấy chứng nhận Phòng GMO thuộc đối tượng áp dụng Nghị định số 101/2017/NĐ-CP và Nghị định số 89/2021/NĐ-CP. Tuy nhiên do không thể mở các lớp Bồi dưỡng để cấp chứng chỉ về an toàn sinh học theo quy định nên không triển khai các thủ tục Giấy chứng nhận Phòng GMO, trong đó có các đơn vị: Trung tâm Kỹ thuật Tiêu chuẩn Đo lường Chất lượng 1 và Trung tâm kỹ thuật Tiêu chuẩn Đo lường 3, là đơn vị trực thuộc Ủy ban Tiêu chuẩn Đo lường Chất lượng Quốc gia; Viện sinh học, Viện hàn lâm KH&amp;CN Việt Nam; Viện nghiên cứu Ngô, Viện Khoa học Nông nghiệp Việt Nam , Học Viện Nông nghiệp Việt Nam ... dẫn đến ảnh hưởng các hoạt động nghiên cứu, dịch vụ phân tích của các đơn vị và gây nguy cơ rủi do, mất an toàn sinh học đối với các sinh vật, mẫu vật biến đổi gen trên lãnh thổ Việt Nam</w:t>
            </w:r>
            <w:r>
              <w:rPr>
                <w:rFonts w:hint="default"/>
                <w:color w:val="auto"/>
                <w:sz w:val="24"/>
                <w:szCs w:val="24"/>
                <w:lang w:val="en-US"/>
              </w:rPr>
              <w:t>.</w:t>
            </w:r>
          </w:p>
          <w:p w14:paraId="15743E5C">
            <w:pPr>
              <w:tabs>
                <w:tab w:val="right" w:pos="8640"/>
              </w:tabs>
              <w:jc w:val="both"/>
              <w:rPr>
                <w:rFonts w:hint="default"/>
                <w:color w:val="auto"/>
                <w:sz w:val="24"/>
                <w:szCs w:val="24"/>
                <w:lang w:val="en-US"/>
              </w:rPr>
            </w:pPr>
            <w:r>
              <w:rPr>
                <w:b w:val="0"/>
                <w:bCs w:val="0"/>
                <w:color w:val="auto"/>
                <w:sz w:val="24"/>
                <w:szCs w:val="24"/>
              </w:rPr>
              <w:t>Cần sửa đổi đồng bộ Thông tư số 20/2012/TT-BKHCN và các quy định liên quan tại Thông tư số 21/2012/TT-BKHCN theo hướng xác định yêu cầu về năng lực an toàn sinh học thay vì chỉ dựa vào một loại chứng chỉ; quy định rõ chương trình và cơ chế tổ chức đào tạo, đánh giá; thừa nhận chứng chỉ hoặc kết quả đào tạo tương đương do cơ quan, tổ chức có năng lực trong nước và nước ngoài cấp; đồng thời phân loại yêu cầu đào tạo theo cấp độ an toàn sinh học và mức độ rủi ro của hoạt động nghiên cứu.</w:t>
            </w:r>
          </w:p>
        </w:tc>
        <w:tc>
          <w:tcPr>
            <w:tcW w:w="1394" w:type="dxa"/>
          </w:tcPr>
          <w:p w14:paraId="6CE874A6">
            <w:pPr>
              <w:tabs>
                <w:tab w:val="left" w:pos="900"/>
                <w:tab w:val="left" w:pos="2520"/>
              </w:tabs>
              <w:spacing w:before="120"/>
              <w:ind w:right="-47"/>
              <w:jc w:val="both"/>
              <w:rPr>
                <w:color w:val="auto"/>
                <w:sz w:val="24"/>
                <w:szCs w:val="24"/>
              </w:rPr>
            </w:pPr>
            <w:r>
              <w:rPr>
                <w:color w:val="auto"/>
                <w:sz w:val="24"/>
                <w:szCs w:val="24"/>
              </w:rPr>
              <w:t>Văn bản sửa đổi, bổ sung</w:t>
            </w:r>
          </w:p>
        </w:tc>
        <w:tc>
          <w:tcPr>
            <w:tcW w:w="1275" w:type="dxa"/>
          </w:tcPr>
          <w:p w14:paraId="385B1574">
            <w:pPr>
              <w:jc w:val="center"/>
              <w:rPr>
                <w:color w:val="auto"/>
                <w:sz w:val="24"/>
                <w:szCs w:val="24"/>
              </w:rPr>
            </w:pPr>
            <w:r>
              <w:rPr>
                <w:rFonts w:hint="default"/>
                <w:color w:val="auto"/>
                <w:sz w:val="24"/>
                <w:szCs w:val="24"/>
                <w:lang w:val="en-US"/>
              </w:rPr>
              <w:t>Tháng 12/</w:t>
            </w:r>
            <w:r>
              <w:rPr>
                <w:color w:val="auto"/>
                <w:sz w:val="24"/>
                <w:szCs w:val="24"/>
              </w:rPr>
              <w:t>2027</w:t>
            </w:r>
          </w:p>
        </w:tc>
        <w:tc>
          <w:tcPr>
            <w:tcW w:w="1245" w:type="dxa"/>
          </w:tcPr>
          <w:p w14:paraId="7CB5542B">
            <w:pPr>
              <w:jc w:val="center"/>
              <w:rPr>
                <w:color w:val="auto"/>
                <w:sz w:val="24"/>
                <w:szCs w:val="24"/>
              </w:rPr>
            </w:pPr>
            <w:r>
              <w:rPr>
                <w:color w:val="auto"/>
                <w:sz w:val="24"/>
                <w:szCs w:val="24"/>
              </w:rPr>
              <w:t xml:space="preserve"> Tiêu chí  2</w:t>
            </w:r>
          </w:p>
        </w:tc>
        <w:tc>
          <w:tcPr>
            <w:tcW w:w="1308" w:type="dxa"/>
          </w:tcPr>
          <w:p w14:paraId="42923CE6">
            <w:pPr>
              <w:jc w:val="center"/>
              <w:rPr>
                <w:color w:val="auto"/>
                <w:sz w:val="24"/>
                <w:szCs w:val="24"/>
              </w:rPr>
            </w:pPr>
          </w:p>
        </w:tc>
        <w:tc>
          <w:tcPr>
            <w:tcW w:w="2410" w:type="dxa"/>
          </w:tcPr>
          <w:p w14:paraId="18FF50BB">
            <w:pPr>
              <w:ind w:firstLine="284"/>
              <w:jc w:val="both"/>
              <w:rPr>
                <w:color w:val="auto"/>
                <w:sz w:val="24"/>
                <w:szCs w:val="24"/>
              </w:rPr>
            </w:pPr>
            <w:r>
              <w:rPr>
                <w:color w:val="auto"/>
                <w:sz w:val="24"/>
                <w:szCs w:val="24"/>
              </w:rPr>
              <w:t>- Nhất trí</w:t>
            </w:r>
          </w:p>
          <w:p w14:paraId="0BE93B4A">
            <w:pPr>
              <w:ind w:firstLine="284"/>
              <w:jc w:val="both"/>
              <w:rPr>
                <w:color w:val="auto"/>
                <w:sz w:val="24"/>
                <w:szCs w:val="24"/>
              </w:rPr>
            </w:pPr>
            <w:r>
              <w:rPr>
                <w:color w:val="auto"/>
                <w:sz w:val="24"/>
                <w:szCs w:val="24"/>
              </w:rPr>
              <w:t>- Chỉnh lý tên văn bản là căn cứ rà soát cho đầy đủ</w:t>
            </w:r>
          </w:p>
        </w:tc>
      </w:tr>
      <w:tr w14:paraId="53717B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04" w:type="dxa"/>
          </w:tcPr>
          <w:p w14:paraId="4A703D7F">
            <w:pPr>
              <w:numPr>
                <w:ilvl w:val="0"/>
                <w:numId w:val="3"/>
              </w:numPr>
              <w:tabs>
                <w:tab w:val="left" w:pos="425"/>
              </w:tabs>
              <w:jc w:val="center"/>
              <w:rPr>
                <w:color w:val="auto"/>
                <w:sz w:val="24"/>
                <w:szCs w:val="24"/>
              </w:rPr>
            </w:pPr>
          </w:p>
        </w:tc>
        <w:tc>
          <w:tcPr>
            <w:tcW w:w="1843" w:type="dxa"/>
          </w:tcPr>
          <w:p w14:paraId="52BD247B">
            <w:pPr>
              <w:tabs>
                <w:tab w:val="right" w:pos="8640"/>
              </w:tabs>
              <w:jc w:val="both"/>
              <w:rPr>
                <w:color w:val="auto"/>
                <w:sz w:val="24"/>
                <w:szCs w:val="24"/>
              </w:rPr>
            </w:pPr>
            <w:r>
              <w:rPr>
                <w:color w:val="auto"/>
                <w:sz w:val="24"/>
                <w:szCs w:val="24"/>
              </w:rPr>
              <w:t>Thông tư số 21/2012/TT-BKHCN ngày 20/11/2012 quy định về an toàn sinh học trong hoạt động nghiên cứu, phát triển công nghệ về sinh vật biến đổi gen</w:t>
            </w:r>
          </w:p>
        </w:tc>
        <w:tc>
          <w:tcPr>
            <w:tcW w:w="1417" w:type="dxa"/>
          </w:tcPr>
          <w:p w14:paraId="08435BF8">
            <w:pPr>
              <w:jc w:val="both"/>
              <w:rPr>
                <w:rFonts w:hint="default"/>
                <w:color w:val="auto"/>
                <w:sz w:val="24"/>
                <w:szCs w:val="24"/>
                <w:lang w:val="en-US"/>
              </w:rPr>
            </w:pPr>
            <w:r>
              <w:rPr>
                <w:color w:val="auto"/>
                <w:sz w:val="24"/>
                <w:szCs w:val="24"/>
              </w:rPr>
              <w:t>Nghị định số 89/2021/NĐ-CP</w:t>
            </w:r>
            <w:r>
              <w:rPr>
                <w:rFonts w:hint="default"/>
                <w:color w:val="auto"/>
                <w:sz w:val="24"/>
                <w:szCs w:val="24"/>
                <w:lang w:val="en-US"/>
              </w:rPr>
              <w:t xml:space="preserve"> </w:t>
            </w:r>
            <w:r>
              <w:rPr>
                <w:b w:val="0"/>
                <w:bCs w:val="0"/>
                <w:color w:val="auto"/>
                <w:sz w:val="24"/>
                <w:szCs w:val="24"/>
              </w:rPr>
              <w:t>ngày 18/10/2021  sửa đổi một số điều của Nghị định số 101/2017/NĐ-CP ngày 01/9/2017 của Chính phủ về đào tạo, bồi dưỡng cán bộ, công chức, viên chức</w:t>
            </w:r>
          </w:p>
        </w:tc>
        <w:tc>
          <w:tcPr>
            <w:tcW w:w="4051" w:type="dxa"/>
            <w:vMerge w:val="continue"/>
          </w:tcPr>
          <w:p w14:paraId="2CE4CDFB">
            <w:pPr>
              <w:widowControl w:val="0"/>
              <w:spacing w:line="276" w:lineRule="auto"/>
              <w:rPr>
                <w:color w:val="auto"/>
                <w:sz w:val="24"/>
                <w:szCs w:val="24"/>
              </w:rPr>
            </w:pPr>
          </w:p>
        </w:tc>
        <w:tc>
          <w:tcPr>
            <w:tcW w:w="1394" w:type="dxa"/>
          </w:tcPr>
          <w:p w14:paraId="5DD027D1">
            <w:pPr>
              <w:tabs>
                <w:tab w:val="left" w:pos="900"/>
                <w:tab w:val="left" w:pos="2520"/>
              </w:tabs>
              <w:spacing w:before="120"/>
              <w:ind w:right="-47"/>
              <w:jc w:val="both"/>
              <w:rPr>
                <w:color w:val="auto"/>
                <w:sz w:val="24"/>
                <w:szCs w:val="24"/>
              </w:rPr>
            </w:pPr>
            <w:r>
              <w:rPr>
                <w:color w:val="auto"/>
                <w:sz w:val="24"/>
                <w:szCs w:val="24"/>
              </w:rPr>
              <w:t>Văn bản sửa đổi, bổ sung</w:t>
            </w:r>
          </w:p>
        </w:tc>
        <w:tc>
          <w:tcPr>
            <w:tcW w:w="1275" w:type="dxa"/>
          </w:tcPr>
          <w:p w14:paraId="6A18C07D">
            <w:pPr>
              <w:jc w:val="center"/>
              <w:rPr>
                <w:color w:val="auto"/>
                <w:sz w:val="24"/>
                <w:szCs w:val="24"/>
              </w:rPr>
            </w:pPr>
            <w:r>
              <w:rPr>
                <w:rFonts w:hint="default"/>
                <w:color w:val="auto"/>
                <w:sz w:val="24"/>
                <w:szCs w:val="24"/>
                <w:lang w:val="en-US"/>
              </w:rPr>
              <w:t>Tháng 12/</w:t>
            </w:r>
            <w:r>
              <w:rPr>
                <w:color w:val="auto"/>
                <w:sz w:val="24"/>
                <w:szCs w:val="24"/>
              </w:rPr>
              <w:t>2027</w:t>
            </w:r>
          </w:p>
        </w:tc>
        <w:tc>
          <w:tcPr>
            <w:tcW w:w="1245" w:type="dxa"/>
          </w:tcPr>
          <w:p w14:paraId="1A1B7BB8">
            <w:pPr>
              <w:jc w:val="center"/>
              <w:rPr>
                <w:color w:val="auto"/>
                <w:sz w:val="24"/>
                <w:szCs w:val="24"/>
              </w:rPr>
            </w:pPr>
          </w:p>
        </w:tc>
        <w:tc>
          <w:tcPr>
            <w:tcW w:w="1308" w:type="dxa"/>
          </w:tcPr>
          <w:p w14:paraId="59026690">
            <w:pPr>
              <w:jc w:val="center"/>
              <w:rPr>
                <w:color w:val="auto"/>
                <w:sz w:val="24"/>
                <w:szCs w:val="24"/>
              </w:rPr>
            </w:pPr>
          </w:p>
        </w:tc>
        <w:tc>
          <w:tcPr>
            <w:tcW w:w="2410" w:type="dxa"/>
          </w:tcPr>
          <w:p w14:paraId="590D4CDA">
            <w:pPr>
              <w:ind w:firstLine="284"/>
              <w:jc w:val="both"/>
              <w:rPr>
                <w:color w:val="auto"/>
                <w:sz w:val="24"/>
                <w:szCs w:val="24"/>
              </w:rPr>
            </w:pPr>
            <w:r>
              <w:rPr>
                <w:color w:val="auto"/>
                <w:sz w:val="24"/>
                <w:szCs w:val="24"/>
              </w:rPr>
              <w:t>- Cần làm rõ, hoàn thiện thêm các nội dung cần  xử lý xử lý tại văn bản được rà soát.và xác định tiêu chí rà soát.</w:t>
            </w:r>
          </w:p>
          <w:p w14:paraId="2E3312A1">
            <w:pPr>
              <w:ind w:firstLine="284"/>
              <w:jc w:val="both"/>
              <w:rPr>
                <w:color w:val="auto"/>
                <w:sz w:val="24"/>
                <w:szCs w:val="24"/>
              </w:rPr>
            </w:pPr>
            <w:r>
              <w:rPr>
                <w:color w:val="auto"/>
                <w:sz w:val="24"/>
                <w:szCs w:val="24"/>
              </w:rPr>
              <w:t>- Chỉnh lý tên văn bản là căn cứ rà soát cho đầy đủ</w:t>
            </w:r>
          </w:p>
        </w:tc>
      </w:tr>
      <w:tr w14:paraId="6EE35D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2" w:hRule="atLeast"/>
          <w:jc w:val="center"/>
        </w:trPr>
        <w:tc>
          <w:tcPr>
            <w:tcW w:w="704" w:type="dxa"/>
          </w:tcPr>
          <w:p w14:paraId="7B670A04">
            <w:pPr>
              <w:numPr>
                <w:ilvl w:val="0"/>
                <w:numId w:val="3"/>
              </w:numPr>
              <w:tabs>
                <w:tab w:val="left" w:pos="425"/>
              </w:tabs>
              <w:jc w:val="center"/>
              <w:rPr>
                <w:color w:val="auto"/>
                <w:sz w:val="24"/>
                <w:szCs w:val="24"/>
              </w:rPr>
            </w:pPr>
          </w:p>
        </w:tc>
        <w:tc>
          <w:tcPr>
            <w:tcW w:w="1843" w:type="dxa"/>
          </w:tcPr>
          <w:p w14:paraId="23B5C76B">
            <w:pPr>
              <w:tabs>
                <w:tab w:val="right" w:pos="8640"/>
              </w:tabs>
              <w:jc w:val="both"/>
              <w:rPr>
                <w:rFonts w:hint="default"/>
                <w:color w:val="auto"/>
                <w:sz w:val="24"/>
                <w:szCs w:val="24"/>
                <w:lang w:val="en-US"/>
              </w:rPr>
            </w:pPr>
            <w:r>
              <w:rPr>
                <w:color w:val="auto"/>
                <w:sz w:val="24"/>
                <w:szCs w:val="24"/>
              </w:rPr>
              <w:t>Thông tư số 14/2013/TT-BKHCN</w:t>
            </w:r>
            <w:r>
              <w:rPr>
                <w:rFonts w:hint="default"/>
                <w:b w:val="0"/>
                <w:bCs w:val="0"/>
                <w:color w:val="auto"/>
                <w:sz w:val="24"/>
                <w:szCs w:val="24"/>
                <w:highlight w:val="none"/>
                <w:lang w:val="en-US"/>
              </w:rPr>
              <w:t xml:space="preserve"> </w:t>
            </w:r>
            <w:r>
              <w:rPr>
                <w:b w:val="0"/>
                <w:bCs w:val="0"/>
                <w:color w:val="auto"/>
                <w:sz w:val="24"/>
                <w:szCs w:val="24"/>
                <w:highlight w:val="none"/>
              </w:rPr>
              <w:t>ngày 12/7/2013 quy định về đo lường đối với chuẩn quốc gia</w:t>
            </w:r>
          </w:p>
        </w:tc>
        <w:tc>
          <w:tcPr>
            <w:tcW w:w="1417" w:type="dxa"/>
          </w:tcPr>
          <w:p w14:paraId="65983A07">
            <w:pPr>
              <w:jc w:val="both"/>
              <w:rPr>
                <w:color w:val="auto"/>
                <w:sz w:val="24"/>
                <w:szCs w:val="24"/>
              </w:rPr>
            </w:pPr>
            <w:r>
              <w:rPr>
                <w:color w:val="auto"/>
                <w:sz w:val="24"/>
                <w:szCs w:val="24"/>
              </w:rPr>
              <w:t>Tình hình thực tiễn</w:t>
            </w:r>
          </w:p>
        </w:tc>
        <w:tc>
          <w:tcPr>
            <w:tcW w:w="4051" w:type="dxa"/>
          </w:tcPr>
          <w:p w14:paraId="222AF660">
            <w:pPr>
              <w:widowControl w:val="0"/>
              <w:jc w:val="both"/>
              <w:rPr>
                <w:color w:val="auto"/>
                <w:sz w:val="24"/>
                <w:szCs w:val="24"/>
              </w:rPr>
            </w:pPr>
            <w:r>
              <w:rPr>
                <w:color w:val="auto"/>
                <w:sz w:val="24"/>
                <w:szCs w:val="24"/>
              </w:rPr>
              <w:t>- Cắt giảm đơn giản hóa thủ tục hành chỉnh phê duyệt, chỉ định tổ chức giữ chuẩn đo lường quốc gia</w:t>
            </w:r>
          </w:p>
          <w:p w14:paraId="213C4C7F">
            <w:pPr>
              <w:jc w:val="both"/>
              <w:rPr>
                <w:rFonts w:hint="default"/>
                <w:color w:val="auto"/>
                <w:sz w:val="24"/>
                <w:szCs w:val="24"/>
                <w:lang w:val="en-US"/>
              </w:rPr>
            </w:pPr>
            <w:r>
              <w:rPr>
                <w:color w:val="auto"/>
                <w:sz w:val="24"/>
                <w:szCs w:val="24"/>
              </w:rPr>
              <w:t>- Một sô nội dung cần bổ sung, điều chỉnh để phù hợp chính sách xã hội hóa hoạt động giữ, duy trì chuẩn đo lường quốc gia theo quy định của Luật sửa đổi, bổ sung một số điều của Luật Đo lường</w:t>
            </w:r>
            <w:r>
              <w:rPr>
                <w:rFonts w:hint="default"/>
                <w:color w:val="auto"/>
                <w:sz w:val="24"/>
                <w:szCs w:val="24"/>
                <w:lang w:val="en-US"/>
              </w:rPr>
              <w:t>.</w:t>
            </w:r>
          </w:p>
          <w:p w14:paraId="581E812F">
            <w:pPr>
              <w:jc w:val="both"/>
              <w:rPr>
                <w:rFonts w:hint="default"/>
                <w:color w:val="auto"/>
                <w:sz w:val="24"/>
                <w:szCs w:val="24"/>
                <w:lang w:val="en-US"/>
              </w:rPr>
            </w:pPr>
            <w:r>
              <w:rPr>
                <w:b w:val="0"/>
                <w:bCs w:val="0"/>
                <w:color w:val="auto"/>
                <w:sz w:val="24"/>
                <w:szCs w:val="24"/>
              </w:rPr>
              <w:t>Hoàn thiện cơ chế huy động tổ chức khoa học và công nghệ, viện nghiên cứu, trường đại học, doanh nghiệp và tổ chức ngoài công lập có đủ năng lực tham gia giữ, duy trì chuẩn đo lường quốc gia. Văn bản phải quy định minh bạch điều kiện, phương thức lựa chọn, quyền và nghĩa vụ của tổ chức được chỉ định; cơ chế đầu tư, sử dụng tài sản, cung cấp dịch vụ, giám sát, đình chỉ, thu hồi và chuyển giao chuẩn, bảo đảm xã hội hóa nguồn lực nhưng không làm giảm vai trò quản lý thống nhất của Nhà nước đối với hệ thống chuẩn đo lường quốc gia.</w:t>
            </w:r>
          </w:p>
        </w:tc>
        <w:tc>
          <w:tcPr>
            <w:tcW w:w="1394" w:type="dxa"/>
          </w:tcPr>
          <w:p w14:paraId="56C0EBAA">
            <w:pPr>
              <w:jc w:val="center"/>
              <w:rPr>
                <w:color w:val="auto"/>
                <w:sz w:val="24"/>
                <w:szCs w:val="24"/>
              </w:rPr>
            </w:pPr>
            <w:r>
              <w:rPr>
                <w:color w:val="auto"/>
                <w:sz w:val="24"/>
                <w:szCs w:val="24"/>
              </w:rPr>
              <w:t>Thông tư Thay thế</w:t>
            </w:r>
          </w:p>
        </w:tc>
        <w:tc>
          <w:tcPr>
            <w:tcW w:w="1275" w:type="dxa"/>
          </w:tcPr>
          <w:p w14:paraId="4896C97D">
            <w:pPr>
              <w:jc w:val="center"/>
              <w:rPr>
                <w:color w:val="auto"/>
                <w:sz w:val="24"/>
                <w:szCs w:val="24"/>
              </w:rPr>
            </w:pPr>
            <w:r>
              <w:rPr>
                <w:color w:val="auto"/>
                <w:sz w:val="24"/>
                <w:szCs w:val="24"/>
              </w:rPr>
              <w:t>Tháng 3/2027</w:t>
            </w:r>
          </w:p>
        </w:tc>
        <w:tc>
          <w:tcPr>
            <w:tcW w:w="1245" w:type="dxa"/>
          </w:tcPr>
          <w:p w14:paraId="54721FDB">
            <w:pPr>
              <w:jc w:val="center"/>
              <w:rPr>
                <w:rFonts w:hint="default"/>
                <w:color w:val="auto"/>
                <w:sz w:val="24"/>
                <w:szCs w:val="24"/>
                <w:lang w:val="en-US"/>
              </w:rPr>
            </w:pPr>
            <w:r>
              <w:rPr>
                <w:color w:val="auto"/>
                <w:sz w:val="24"/>
                <w:szCs w:val="24"/>
              </w:rPr>
              <w:t>Tiêu chí 2</w:t>
            </w:r>
            <w:r>
              <w:rPr>
                <w:rFonts w:hint="default"/>
                <w:color w:val="auto"/>
                <w:sz w:val="24"/>
                <w:szCs w:val="24"/>
                <w:lang w:val="en-US"/>
              </w:rPr>
              <w:t>.3</w:t>
            </w:r>
          </w:p>
        </w:tc>
        <w:tc>
          <w:tcPr>
            <w:tcW w:w="1308" w:type="dxa"/>
          </w:tcPr>
          <w:p w14:paraId="38F5EE36">
            <w:pPr>
              <w:ind w:left="100" w:right="100"/>
              <w:jc w:val="both"/>
              <w:rPr>
                <w:color w:val="auto"/>
                <w:sz w:val="24"/>
                <w:szCs w:val="24"/>
              </w:rPr>
            </w:pPr>
            <w:r>
              <w:rPr>
                <w:rFonts w:hint="default"/>
                <w:color w:val="auto"/>
                <w:sz w:val="24"/>
                <w:szCs w:val="24"/>
                <w:lang w:val="en-US"/>
              </w:rPr>
              <w:t xml:space="preserve"> </w:t>
            </w:r>
          </w:p>
        </w:tc>
        <w:tc>
          <w:tcPr>
            <w:tcW w:w="2410" w:type="dxa"/>
          </w:tcPr>
          <w:p w14:paraId="43AA383E">
            <w:pPr>
              <w:spacing w:before="120"/>
              <w:ind w:left="100" w:right="100" w:firstLine="284"/>
              <w:jc w:val="both"/>
              <w:rPr>
                <w:color w:val="auto"/>
                <w:sz w:val="24"/>
                <w:szCs w:val="24"/>
              </w:rPr>
            </w:pPr>
            <w:r>
              <w:rPr>
                <w:color w:val="auto"/>
                <w:sz w:val="24"/>
                <w:szCs w:val="24"/>
              </w:rPr>
              <w:t>- Cần làm rõ, hoàn thiện thêm các nội dung cần  xử lý tại văn bản được rà soát.</w:t>
            </w:r>
          </w:p>
          <w:p w14:paraId="3C5D4660">
            <w:pPr>
              <w:spacing w:before="120"/>
              <w:ind w:left="100" w:right="100" w:firstLine="284"/>
              <w:jc w:val="both"/>
              <w:rPr>
                <w:color w:val="auto"/>
                <w:sz w:val="24"/>
                <w:szCs w:val="24"/>
              </w:rPr>
            </w:pPr>
            <w:r>
              <w:rPr>
                <w:color w:val="auto"/>
                <w:sz w:val="24"/>
                <w:szCs w:val="24"/>
              </w:rPr>
              <w:t>- Đề nghị bổ sung tên đầy đủ của Thông tư.</w:t>
            </w:r>
          </w:p>
          <w:p w14:paraId="717B1480">
            <w:pPr>
              <w:spacing w:before="120"/>
              <w:ind w:left="100" w:right="100" w:firstLine="284"/>
              <w:jc w:val="both"/>
              <w:rPr>
                <w:color w:val="auto"/>
                <w:sz w:val="24"/>
                <w:szCs w:val="24"/>
              </w:rPr>
            </w:pPr>
          </w:p>
        </w:tc>
      </w:tr>
      <w:tr w14:paraId="687AB9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2" w:hRule="atLeast"/>
          <w:jc w:val="center"/>
        </w:trPr>
        <w:tc>
          <w:tcPr>
            <w:tcW w:w="704" w:type="dxa"/>
            <w:vMerge w:val="restart"/>
          </w:tcPr>
          <w:p w14:paraId="64BF5746">
            <w:pPr>
              <w:numPr>
                <w:ilvl w:val="0"/>
                <w:numId w:val="3"/>
              </w:numPr>
              <w:tabs>
                <w:tab w:val="left" w:pos="425"/>
              </w:tabs>
              <w:jc w:val="center"/>
              <w:rPr>
                <w:color w:val="auto"/>
                <w:sz w:val="24"/>
                <w:szCs w:val="24"/>
              </w:rPr>
            </w:pPr>
          </w:p>
        </w:tc>
        <w:tc>
          <w:tcPr>
            <w:tcW w:w="1843" w:type="dxa"/>
            <w:vMerge w:val="restart"/>
          </w:tcPr>
          <w:p w14:paraId="3F6E22A5">
            <w:pPr>
              <w:tabs>
                <w:tab w:val="right" w:pos="8640"/>
              </w:tabs>
              <w:jc w:val="both"/>
              <w:rPr>
                <w:color w:val="auto"/>
                <w:sz w:val="24"/>
                <w:szCs w:val="24"/>
              </w:rPr>
            </w:pPr>
            <w:r>
              <w:rPr>
                <w:color w:val="auto"/>
                <w:sz w:val="24"/>
                <w:szCs w:val="24"/>
              </w:rPr>
              <w:t>Thông tư số 22/2013/TT-BKHCN ngày 26/9/2013 của Bộ Khoa học và Công nghệ quy định về quản lý đo lường trong kinh doanh vàng và quản lý chất lượng vàng trang sức, mỹ nghệ lưu thông trên thị trường</w:t>
            </w:r>
          </w:p>
        </w:tc>
        <w:tc>
          <w:tcPr>
            <w:tcW w:w="1417" w:type="dxa"/>
          </w:tcPr>
          <w:p w14:paraId="373625E6">
            <w:pPr>
              <w:jc w:val="both"/>
              <w:rPr>
                <w:color w:val="auto"/>
                <w:sz w:val="24"/>
                <w:szCs w:val="24"/>
              </w:rPr>
            </w:pPr>
            <w:r>
              <w:rPr>
                <w:color w:val="auto"/>
                <w:sz w:val="24"/>
                <w:szCs w:val="24"/>
              </w:rPr>
              <w:t>Tình hình thực tiễn</w:t>
            </w:r>
          </w:p>
        </w:tc>
        <w:tc>
          <w:tcPr>
            <w:tcW w:w="4051" w:type="dxa"/>
          </w:tcPr>
          <w:p w14:paraId="64DA4F63">
            <w:pPr>
              <w:jc w:val="both"/>
              <w:rPr>
                <w:color w:val="auto"/>
                <w:sz w:val="24"/>
                <w:szCs w:val="24"/>
              </w:rPr>
            </w:pPr>
            <w:r>
              <w:rPr>
                <w:color w:val="auto"/>
                <w:sz w:val="24"/>
                <w:szCs w:val="24"/>
              </w:rPr>
              <w:t xml:space="preserve">Theo phản ánh của một số cơ quan, tại Thông tư có nhiều nội dung chưa rõ, trong quá trình thực hiện phải hướng dẫn bằng văn bản hành chính (ví dụ như văn bản số 1402/TĐC-HCHQ ngày 31/7/2014 của Tổng cục Tiêu chuẩn Đo lường Chất lượng), gây khó khăn cho các tổ chức sản xuất kinh doanh khi thực hiện chấp hành. </w:t>
            </w:r>
            <w:r>
              <w:rPr>
                <w:b/>
                <w:bCs/>
                <w:i/>
                <w:iCs/>
                <w:color w:val="auto"/>
                <w:sz w:val="24"/>
                <w:szCs w:val="24"/>
              </w:rPr>
              <w:t xml:space="preserve"> </w:t>
            </w:r>
          </w:p>
          <w:p w14:paraId="0D397D61">
            <w:pPr>
              <w:jc w:val="both"/>
              <w:rPr>
                <w:color w:val="auto"/>
                <w:sz w:val="24"/>
                <w:szCs w:val="24"/>
              </w:rPr>
            </w:pPr>
          </w:p>
        </w:tc>
        <w:tc>
          <w:tcPr>
            <w:tcW w:w="1394" w:type="dxa"/>
          </w:tcPr>
          <w:p w14:paraId="46CB769D">
            <w:pPr>
              <w:jc w:val="center"/>
              <w:rPr>
                <w:color w:val="auto"/>
                <w:sz w:val="24"/>
                <w:szCs w:val="24"/>
              </w:rPr>
            </w:pPr>
            <w:r>
              <w:rPr>
                <w:color w:val="auto"/>
                <w:sz w:val="24"/>
                <w:szCs w:val="24"/>
              </w:rPr>
              <w:t>Thông tư thay thế</w:t>
            </w:r>
          </w:p>
        </w:tc>
        <w:tc>
          <w:tcPr>
            <w:tcW w:w="1275" w:type="dxa"/>
          </w:tcPr>
          <w:p w14:paraId="4C783453">
            <w:pPr>
              <w:jc w:val="center"/>
              <w:rPr>
                <w:color w:val="auto"/>
                <w:sz w:val="24"/>
                <w:szCs w:val="24"/>
              </w:rPr>
            </w:pPr>
            <w:r>
              <w:rPr>
                <w:rFonts w:hint="default"/>
                <w:color w:val="auto"/>
                <w:sz w:val="24"/>
                <w:szCs w:val="24"/>
                <w:lang w:val="en-US"/>
              </w:rPr>
              <w:t>Tháng 12/</w:t>
            </w:r>
            <w:r>
              <w:rPr>
                <w:color w:val="auto"/>
                <w:sz w:val="24"/>
                <w:szCs w:val="24"/>
              </w:rPr>
              <w:t>2026</w:t>
            </w:r>
          </w:p>
        </w:tc>
        <w:tc>
          <w:tcPr>
            <w:tcW w:w="1245" w:type="dxa"/>
          </w:tcPr>
          <w:p w14:paraId="48FC8084">
            <w:pPr>
              <w:jc w:val="center"/>
              <w:rPr>
                <w:color w:val="auto"/>
                <w:sz w:val="24"/>
                <w:szCs w:val="24"/>
              </w:rPr>
            </w:pPr>
            <w:r>
              <w:rPr>
                <w:color w:val="auto"/>
                <w:sz w:val="24"/>
                <w:szCs w:val="24"/>
              </w:rPr>
              <w:t>Tiêu chí  5</w:t>
            </w:r>
          </w:p>
        </w:tc>
        <w:tc>
          <w:tcPr>
            <w:tcW w:w="1308" w:type="dxa"/>
            <w:vMerge w:val="restart"/>
          </w:tcPr>
          <w:p w14:paraId="4CA28B66">
            <w:pPr>
              <w:jc w:val="center"/>
              <w:rPr>
                <w:color w:val="auto"/>
                <w:sz w:val="24"/>
                <w:szCs w:val="24"/>
              </w:rPr>
            </w:pPr>
          </w:p>
        </w:tc>
        <w:tc>
          <w:tcPr>
            <w:tcW w:w="2410" w:type="dxa"/>
          </w:tcPr>
          <w:p w14:paraId="6E89334A">
            <w:pPr>
              <w:ind w:firstLine="284"/>
              <w:jc w:val="both"/>
              <w:rPr>
                <w:color w:val="auto"/>
                <w:sz w:val="24"/>
                <w:szCs w:val="24"/>
              </w:rPr>
            </w:pPr>
            <w:r>
              <w:rPr>
                <w:color w:val="auto"/>
                <w:sz w:val="24"/>
                <w:szCs w:val="24"/>
              </w:rPr>
              <w:t>Nhất trí</w:t>
            </w:r>
          </w:p>
        </w:tc>
      </w:tr>
      <w:tr w14:paraId="44F0AB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09" w:hRule="atLeast"/>
          <w:jc w:val="center"/>
        </w:trPr>
        <w:tc>
          <w:tcPr>
            <w:tcW w:w="704" w:type="dxa"/>
            <w:vMerge w:val="continue"/>
          </w:tcPr>
          <w:p w14:paraId="4E293C10">
            <w:pPr>
              <w:widowControl w:val="0"/>
              <w:spacing w:line="276" w:lineRule="auto"/>
              <w:rPr>
                <w:color w:val="auto"/>
                <w:sz w:val="24"/>
                <w:szCs w:val="24"/>
              </w:rPr>
            </w:pPr>
          </w:p>
        </w:tc>
        <w:tc>
          <w:tcPr>
            <w:tcW w:w="1843" w:type="dxa"/>
            <w:vMerge w:val="continue"/>
          </w:tcPr>
          <w:p w14:paraId="64C3B0A1">
            <w:pPr>
              <w:widowControl w:val="0"/>
              <w:spacing w:line="276" w:lineRule="auto"/>
              <w:rPr>
                <w:color w:val="auto"/>
                <w:sz w:val="24"/>
                <w:szCs w:val="24"/>
              </w:rPr>
            </w:pPr>
          </w:p>
        </w:tc>
        <w:tc>
          <w:tcPr>
            <w:tcW w:w="1417" w:type="dxa"/>
          </w:tcPr>
          <w:p w14:paraId="6A8AD426">
            <w:pPr>
              <w:jc w:val="both"/>
              <w:rPr>
                <w:color w:val="auto"/>
                <w:sz w:val="24"/>
                <w:szCs w:val="24"/>
              </w:rPr>
            </w:pPr>
            <w:r>
              <w:rPr>
                <w:color w:val="auto"/>
                <w:sz w:val="24"/>
                <w:szCs w:val="24"/>
              </w:rPr>
              <w:t>Nghị định số 37/2026/NĐ-CP</w:t>
            </w:r>
            <w:r>
              <w:rPr>
                <w:rFonts w:hint="default"/>
                <w:color w:val="auto"/>
                <w:sz w:val="24"/>
                <w:szCs w:val="24"/>
                <w:lang w:val="en-US"/>
              </w:rPr>
              <w:t xml:space="preserve"> </w:t>
            </w:r>
            <w:r>
              <w:rPr>
                <w:rFonts w:hint="default"/>
                <w:b w:val="0"/>
                <w:bCs w:val="0"/>
                <w:color w:val="auto"/>
                <w:sz w:val="24"/>
                <w:szCs w:val="24"/>
                <w:lang w:val="en-US"/>
              </w:rPr>
              <w:t>ngày 23/01/2026 quy định chi tiết một số điều và biện pháp để tổ chức, hướng dẫn thi hành luật chất Lượng sản phẩm, hàng hóa</w:t>
            </w:r>
          </w:p>
          <w:p w14:paraId="7B625EC0">
            <w:pPr>
              <w:jc w:val="both"/>
              <w:rPr>
                <w:rFonts w:hint="default"/>
                <w:color w:val="auto"/>
                <w:sz w:val="24"/>
                <w:szCs w:val="24"/>
                <w:lang w:val="en-US"/>
              </w:rPr>
            </w:pPr>
            <w:r>
              <w:rPr>
                <w:color w:val="auto"/>
                <w:sz w:val="24"/>
                <w:szCs w:val="24"/>
              </w:rPr>
              <w:t>Thông tư số 04/2026/TT-BKHCN</w:t>
            </w:r>
            <w:r>
              <w:rPr>
                <w:rFonts w:hint="default"/>
                <w:color w:val="auto"/>
                <w:sz w:val="24"/>
                <w:szCs w:val="24"/>
                <w:lang w:val="en-US"/>
              </w:rPr>
              <w:t xml:space="preserve"> </w:t>
            </w:r>
            <w:r>
              <w:rPr>
                <w:b w:val="0"/>
                <w:bCs w:val="0"/>
                <w:color w:val="auto"/>
                <w:sz w:val="24"/>
                <w:szCs w:val="24"/>
              </w:rPr>
              <w:t xml:space="preserve">ngày 27/02/2026 </w:t>
            </w:r>
            <w:r>
              <w:rPr>
                <w:b w:val="0"/>
                <w:bCs w:val="0"/>
                <w:color w:val="auto"/>
                <w:sz w:val="24"/>
                <w:szCs w:val="24"/>
                <w:lang w:val="vi-VN"/>
              </w:rPr>
              <w:t>sửa đổi, bổ sung, bãi bỏ một số điều của các văn bản quy phạm pháp luật của bộ trưởng bộ khoa học và công nghệ ban hành trong lĩnh vực tiêu chuẩn đo lường chất lượng</w:t>
            </w:r>
          </w:p>
        </w:tc>
        <w:tc>
          <w:tcPr>
            <w:tcW w:w="4051" w:type="dxa"/>
          </w:tcPr>
          <w:p w14:paraId="40420F7B">
            <w:pPr>
              <w:jc w:val="both"/>
              <w:rPr>
                <w:color w:val="auto"/>
                <w:sz w:val="24"/>
                <w:szCs w:val="24"/>
              </w:rPr>
            </w:pPr>
            <w:r>
              <w:rPr>
                <w:color w:val="auto"/>
                <w:sz w:val="24"/>
                <w:szCs w:val="24"/>
              </w:rPr>
              <w:t>- Cơ cấu tổ chức hành chính đã thay đổi;</w:t>
            </w:r>
          </w:p>
          <w:p w14:paraId="11959F9D">
            <w:pPr>
              <w:jc w:val="both"/>
              <w:rPr>
                <w:color w:val="auto"/>
                <w:sz w:val="24"/>
                <w:szCs w:val="24"/>
              </w:rPr>
            </w:pPr>
            <w:r>
              <w:rPr>
                <w:color w:val="auto"/>
                <w:sz w:val="24"/>
                <w:szCs w:val="24"/>
              </w:rPr>
              <w:t>- Không còn được quy định về lĩnh vực thanh tra;</w:t>
            </w:r>
          </w:p>
          <w:p w14:paraId="3F0C5DC3">
            <w:pPr>
              <w:jc w:val="both"/>
              <w:rPr>
                <w:color w:val="auto"/>
                <w:sz w:val="24"/>
                <w:szCs w:val="24"/>
              </w:rPr>
            </w:pPr>
            <w:r>
              <w:rPr>
                <w:color w:val="auto"/>
                <w:sz w:val="24"/>
                <w:szCs w:val="24"/>
              </w:rPr>
              <w:t>- Chính phủ giao bổ sung nhiệm vụ về kiểm tra, quản lý đo lường, chất lượng của vàng miếng, vàng nguyên liệu;</w:t>
            </w:r>
          </w:p>
          <w:p w14:paraId="67095C79">
            <w:pPr>
              <w:jc w:val="both"/>
              <w:rPr>
                <w:color w:val="auto"/>
                <w:sz w:val="24"/>
                <w:szCs w:val="24"/>
              </w:rPr>
            </w:pPr>
            <w:r>
              <w:rPr>
                <w:color w:val="auto"/>
                <w:sz w:val="24"/>
                <w:szCs w:val="24"/>
              </w:rPr>
              <w:t>- Một số quy định về quản lý đo lường đã được sửa đổi, bổ sung bởi Thông tư số 04/2026/NĐ-CP.</w:t>
            </w:r>
          </w:p>
          <w:p w14:paraId="5865071D">
            <w:pPr>
              <w:jc w:val="both"/>
              <w:rPr>
                <w:color w:val="auto"/>
                <w:sz w:val="24"/>
                <w:szCs w:val="24"/>
              </w:rPr>
            </w:pPr>
            <w:r>
              <w:rPr>
                <w:color w:val="auto"/>
                <w:sz w:val="24"/>
                <w:szCs w:val="24"/>
              </w:rPr>
              <w:t>- Vướng mắc về ghi nhãn hàng hóa, kiểm tra chất lượng đối với vàng trang sức mỹ nghệ;</w:t>
            </w:r>
          </w:p>
          <w:p w14:paraId="17CD3BE2">
            <w:pPr>
              <w:jc w:val="both"/>
              <w:rPr>
                <w:color w:val="auto"/>
                <w:sz w:val="24"/>
                <w:szCs w:val="24"/>
              </w:rPr>
            </w:pPr>
            <w:r>
              <w:rPr>
                <w:color w:val="auto"/>
                <w:sz w:val="24"/>
                <w:szCs w:val="24"/>
              </w:rPr>
              <w:t>- TTHC trùng lặp với TTHC quy định tại Nghị định số 37/2026/NĐ-CP</w:t>
            </w:r>
          </w:p>
        </w:tc>
        <w:tc>
          <w:tcPr>
            <w:tcW w:w="1394" w:type="dxa"/>
          </w:tcPr>
          <w:p w14:paraId="61C1E33F">
            <w:pPr>
              <w:jc w:val="center"/>
              <w:rPr>
                <w:color w:val="auto"/>
                <w:sz w:val="24"/>
                <w:szCs w:val="24"/>
              </w:rPr>
            </w:pPr>
            <w:r>
              <w:rPr>
                <w:color w:val="auto"/>
                <w:sz w:val="24"/>
                <w:szCs w:val="24"/>
              </w:rPr>
              <w:t>Thông tư thay thế</w:t>
            </w:r>
          </w:p>
        </w:tc>
        <w:tc>
          <w:tcPr>
            <w:tcW w:w="1275" w:type="dxa"/>
          </w:tcPr>
          <w:p w14:paraId="666D1692">
            <w:pPr>
              <w:jc w:val="center"/>
              <w:rPr>
                <w:color w:val="auto"/>
                <w:sz w:val="24"/>
                <w:szCs w:val="24"/>
              </w:rPr>
            </w:pPr>
            <w:r>
              <w:rPr>
                <w:rFonts w:hint="default"/>
                <w:color w:val="auto"/>
                <w:sz w:val="24"/>
                <w:szCs w:val="24"/>
                <w:lang w:val="en-US"/>
              </w:rPr>
              <w:t>Tháng 12/</w:t>
            </w:r>
            <w:r>
              <w:rPr>
                <w:color w:val="auto"/>
                <w:sz w:val="24"/>
                <w:szCs w:val="24"/>
              </w:rPr>
              <w:t>2026</w:t>
            </w:r>
          </w:p>
        </w:tc>
        <w:tc>
          <w:tcPr>
            <w:tcW w:w="1245" w:type="dxa"/>
          </w:tcPr>
          <w:p w14:paraId="6D7D6EC9">
            <w:pPr>
              <w:jc w:val="center"/>
              <w:rPr>
                <w:rFonts w:hint="default"/>
                <w:color w:val="auto"/>
                <w:sz w:val="24"/>
                <w:szCs w:val="24"/>
                <w:lang w:val="en-US"/>
              </w:rPr>
            </w:pPr>
            <w:r>
              <w:rPr>
                <w:color w:val="auto"/>
                <w:sz w:val="24"/>
                <w:szCs w:val="24"/>
              </w:rPr>
              <w:t>Tiêu chí 2</w:t>
            </w:r>
            <w:r>
              <w:rPr>
                <w:rFonts w:hint="default"/>
                <w:color w:val="auto"/>
                <w:sz w:val="24"/>
                <w:szCs w:val="24"/>
                <w:lang w:val="en-US"/>
              </w:rPr>
              <w:t>.3</w:t>
            </w:r>
          </w:p>
        </w:tc>
        <w:tc>
          <w:tcPr>
            <w:tcW w:w="1308" w:type="dxa"/>
            <w:vMerge w:val="continue"/>
          </w:tcPr>
          <w:p w14:paraId="1EBB1FEA">
            <w:pPr>
              <w:widowControl w:val="0"/>
              <w:spacing w:line="276" w:lineRule="auto"/>
              <w:rPr>
                <w:color w:val="auto"/>
                <w:sz w:val="24"/>
                <w:szCs w:val="24"/>
              </w:rPr>
            </w:pPr>
          </w:p>
        </w:tc>
        <w:tc>
          <w:tcPr>
            <w:tcW w:w="2410" w:type="dxa"/>
          </w:tcPr>
          <w:p w14:paraId="1231C3BF">
            <w:pPr>
              <w:widowControl w:val="0"/>
              <w:spacing w:line="276" w:lineRule="auto"/>
              <w:ind w:firstLine="284"/>
              <w:jc w:val="both"/>
              <w:rPr>
                <w:color w:val="auto"/>
                <w:sz w:val="24"/>
                <w:szCs w:val="24"/>
              </w:rPr>
            </w:pPr>
            <w:r>
              <w:rPr>
                <w:color w:val="auto"/>
                <w:sz w:val="24"/>
                <w:szCs w:val="24"/>
              </w:rPr>
              <w:t>- Nhất trí</w:t>
            </w:r>
          </w:p>
          <w:p w14:paraId="7754EDA0">
            <w:pPr>
              <w:widowControl w:val="0"/>
              <w:spacing w:line="276" w:lineRule="auto"/>
              <w:ind w:firstLine="284"/>
              <w:jc w:val="both"/>
              <w:rPr>
                <w:color w:val="auto"/>
                <w:sz w:val="24"/>
                <w:szCs w:val="24"/>
              </w:rPr>
            </w:pPr>
            <w:r>
              <w:rPr>
                <w:color w:val="auto"/>
                <w:sz w:val="24"/>
                <w:szCs w:val="24"/>
              </w:rPr>
              <w:t>- Chỉnh lý tên văn bản là căn cứ rà soát cho đầy đủ</w:t>
            </w:r>
          </w:p>
          <w:p w14:paraId="72006EE7">
            <w:pPr>
              <w:widowControl w:val="0"/>
              <w:spacing w:line="276" w:lineRule="auto"/>
              <w:ind w:firstLine="284"/>
              <w:jc w:val="both"/>
              <w:rPr>
                <w:color w:val="auto"/>
                <w:sz w:val="24"/>
                <w:szCs w:val="24"/>
              </w:rPr>
            </w:pPr>
          </w:p>
        </w:tc>
      </w:tr>
      <w:tr w14:paraId="00828E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40" w:hRule="atLeast"/>
          <w:jc w:val="center"/>
        </w:trPr>
        <w:tc>
          <w:tcPr>
            <w:tcW w:w="704" w:type="dxa"/>
          </w:tcPr>
          <w:p w14:paraId="5BF18828">
            <w:pPr>
              <w:numPr>
                <w:ilvl w:val="0"/>
                <w:numId w:val="3"/>
              </w:numPr>
              <w:tabs>
                <w:tab w:val="left" w:pos="425"/>
              </w:tabs>
              <w:jc w:val="center"/>
              <w:rPr>
                <w:color w:val="auto"/>
                <w:sz w:val="24"/>
                <w:szCs w:val="24"/>
              </w:rPr>
            </w:pPr>
          </w:p>
        </w:tc>
        <w:tc>
          <w:tcPr>
            <w:tcW w:w="1843" w:type="dxa"/>
          </w:tcPr>
          <w:p w14:paraId="2AB1D94A">
            <w:pPr>
              <w:tabs>
                <w:tab w:val="right" w:pos="8640"/>
              </w:tabs>
              <w:jc w:val="both"/>
              <w:rPr>
                <w:color w:val="auto"/>
                <w:sz w:val="24"/>
                <w:szCs w:val="24"/>
              </w:rPr>
            </w:pPr>
            <w:r>
              <w:rPr>
                <w:color w:val="auto"/>
                <w:sz w:val="24"/>
                <w:szCs w:val="24"/>
              </w:rPr>
              <w:t>Thông tư số 23/2013/TT- BKHCN ngày 26/9/2013 quy định về đo lường đối với phương tiện đo nhóm 2 do Bộ trưởng Bộ Khoa học và Công nghệ ban hành</w:t>
            </w:r>
          </w:p>
        </w:tc>
        <w:tc>
          <w:tcPr>
            <w:tcW w:w="1417" w:type="dxa"/>
          </w:tcPr>
          <w:p w14:paraId="08347FC0">
            <w:pPr>
              <w:tabs>
                <w:tab w:val="right" w:pos="8640"/>
              </w:tabs>
              <w:jc w:val="both"/>
              <w:rPr>
                <w:color w:val="auto"/>
                <w:sz w:val="24"/>
                <w:szCs w:val="24"/>
              </w:rPr>
            </w:pPr>
            <w:r>
              <w:rPr>
                <w:color w:val="auto"/>
                <w:sz w:val="24"/>
                <w:szCs w:val="24"/>
              </w:rPr>
              <w:t>Tình hình thực tiễn</w:t>
            </w:r>
          </w:p>
        </w:tc>
        <w:tc>
          <w:tcPr>
            <w:tcW w:w="4051" w:type="dxa"/>
          </w:tcPr>
          <w:p w14:paraId="634BA8B5">
            <w:pPr>
              <w:tabs>
                <w:tab w:val="left" w:pos="900"/>
                <w:tab w:val="left" w:pos="2520"/>
              </w:tabs>
              <w:spacing w:before="120"/>
              <w:ind w:right="61"/>
              <w:jc w:val="both"/>
              <w:rPr>
                <w:color w:val="auto"/>
                <w:sz w:val="24"/>
                <w:szCs w:val="24"/>
              </w:rPr>
            </w:pPr>
            <w:r>
              <w:rPr>
                <w:color w:val="auto"/>
                <w:sz w:val="24"/>
                <w:szCs w:val="24"/>
              </w:rPr>
              <w:t>Khoản 5 Điều 27, khoản 2 Điều 28 Cụm từ “thanh tra” không còn phù hợp với pháp luật thanh tra do không còn quy định thanh tra chuyên ngành. Rà soát, điều chỉnh danh mục phương tiện đo nhóm 2 bảo đảm phù hợp thực tế</w:t>
            </w:r>
          </w:p>
        </w:tc>
        <w:tc>
          <w:tcPr>
            <w:tcW w:w="1394" w:type="dxa"/>
          </w:tcPr>
          <w:p w14:paraId="1E384E51">
            <w:pPr>
              <w:jc w:val="center"/>
              <w:rPr>
                <w:color w:val="auto"/>
                <w:sz w:val="24"/>
                <w:szCs w:val="24"/>
              </w:rPr>
            </w:pPr>
            <w:r>
              <w:rPr>
                <w:color w:val="auto"/>
                <w:sz w:val="24"/>
                <w:szCs w:val="24"/>
              </w:rPr>
              <w:t>Thông tư thay thế</w:t>
            </w:r>
          </w:p>
        </w:tc>
        <w:tc>
          <w:tcPr>
            <w:tcW w:w="1275" w:type="dxa"/>
          </w:tcPr>
          <w:p w14:paraId="57375420">
            <w:pPr>
              <w:jc w:val="center"/>
              <w:rPr>
                <w:color w:val="auto"/>
                <w:sz w:val="24"/>
                <w:szCs w:val="24"/>
              </w:rPr>
            </w:pPr>
            <w:r>
              <w:rPr>
                <w:color w:val="auto"/>
                <w:sz w:val="24"/>
                <w:szCs w:val="24"/>
              </w:rPr>
              <w:t>Tháng</w:t>
            </w:r>
          </w:p>
          <w:p w14:paraId="7C4403DE">
            <w:pPr>
              <w:jc w:val="center"/>
              <w:rPr>
                <w:color w:val="auto"/>
                <w:sz w:val="24"/>
                <w:szCs w:val="24"/>
              </w:rPr>
            </w:pPr>
            <w:r>
              <w:rPr>
                <w:color w:val="auto"/>
                <w:sz w:val="24"/>
                <w:szCs w:val="24"/>
              </w:rPr>
              <w:t>3/2027</w:t>
            </w:r>
          </w:p>
        </w:tc>
        <w:tc>
          <w:tcPr>
            <w:tcW w:w="1245" w:type="dxa"/>
          </w:tcPr>
          <w:p w14:paraId="3B1C40E5">
            <w:pPr>
              <w:jc w:val="both"/>
              <w:rPr>
                <w:color w:val="auto"/>
                <w:sz w:val="24"/>
                <w:szCs w:val="24"/>
              </w:rPr>
            </w:pPr>
            <w:r>
              <w:rPr>
                <w:color w:val="auto"/>
                <w:sz w:val="24"/>
                <w:szCs w:val="24"/>
              </w:rPr>
              <w:t>Tiêu chí  2</w:t>
            </w:r>
            <w:r>
              <w:rPr>
                <w:rFonts w:hint="default"/>
                <w:color w:val="auto"/>
                <w:sz w:val="24"/>
                <w:szCs w:val="24"/>
                <w:lang w:val="en-US"/>
              </w:rPr>
              <w:t>.3</w:t>
            </w:r>
            <w:r>
              <w:rPr>
                <w:color w:val="auto"/>
                <w:sz w:val="24"/>
                <w:szCs w:val="24"/>
              </w:rPr>
              <w:t xml:space="preserve">, </w:t>
            </w:r>
            <w:r>
              <w:rPr>
                <w:rFonts w:hint="default"/>
                <w:color w:val="auto"/>
                <w:sz w:val="24"/>
                <w:szCs w:val="24"/>
                <w:lang w:val="en-US"/>
              </w:rPr>
              <w:t xml:space="preserve">Tiêu chí </w:t>
            </w:r>
            <w:r>
              <w:rPr>
                <w:color w:val="auto"/>
                <w:sz w:val="24"/>
                <w:szCs w:val="24"/>
              </w:rPr>
              <w:t>5</w:t>
            </w:r>
          </w:p>
        </w:tc>
        <w:tc>
          <w:tcPr>
            <w:tcW w:w="1308" w:type="dxa"/>
            <w:vMerge w:val="restart"/>
          </w:tcPr>
          <w:p w14:paraId="45BC48F6">
            <w:pPr>
              <w:ind w:left="100" w:right="100"/>
              <w:jc w:val="both"/>
              <w:rPr>
                <w:color w:val="auto"/>
                <w:sz w:val="24"/>
                <w:szCs w:val="24"/>
              </w:rPr>
            </w:pPr>
          </w:p>
        </w:tc>
        <w:tc>
          <w:tcPr>
            <w:tcW w:w="2410" w:type="dxa"/>
          </w:tcPr>
          <w:p w14:paraId="479088CF">
            <w:pPr>
              <w:spacing w:before="120"/>
              <w:ind w:right="100" w:firstLine="284"/>
              <w:jc w:val="both"/>
              <w:rPr>
                <w:color w:val="auto"/>
                <w:sz w:val="24"/>
                <w:szCs w:val="24"/>
              </w:rPr>
            </w:pPr>
            <w:r>
              <w:rPr>
                <w:color w:val="auto"/>
                <w:sz w:val="24"/>
                <w:szCs w:val="24"/>
              </w:rPr>
              <w:t>- Nhất trí</w:t>
            </w:r>
          </w:p>
          <w:p w14:paraId="44A40563">
            <w:pPr>
              <w:spacing w:before="120"/>
              <w:ind w:right="100" w:firstLine="284"/>
              <w:jc w:val="both"/>
              <w:rPr>
                <w:color w:val="auto"/>
                <w:sz w:val="24"/>
                <w:szCs w:val="24"/>
              </w:rPr>
            </w:pPr>
            <w:r>
              <w:rPr>
                <w:color w:val="auto"/>
                <w:sz w:val="24"/>
                <w:szCs w:val="24"/>
              </w:rPr>
              <w:t>- Đề nghị bỏ nội dung tại Cột 8, theo Mẫu số 04-BN ban hành kèm theo Hướng dẫn số 06/HD-BCĐ thì</w:t>
            </w:r>
            <w:r>
              <w:rPr>
                <w:i/>
                <w:iCs/>
                <w:color w:val="auto"/>
                <w:sz w:val="24"/>
                <w:szCs w:val="24"/>
              </w:rPr>
              <w:t xml:space="preserve"> Cột (8)</w:t>
            </w:r>
            <w:r>
              <w:rPr>
                <w:color w:val="auto"/>
                <w:sz w:val="24"/>
                <w:szCs w:val="24"/>
              </w:rPr>
              <w:t xml:space="preserve">: Điền hình thức xử lý đối với </w:t>
            </w:r>
            <w:r>
              <w:rPr>
                <w:color w:val="auto"/>
                <w:sz w:val="24"/>
                <w:szCs w:val="24"/>
                <w:u w:val="single"/>
              </w:rPr>
              <w:t>nội dung, quy định</w:t>
            </w:r>
            <w:r>
              <w:rPr>
                <w:color w:val="auto"/>
                <w:sz w:val="24"/>
                <w:szCs w:val="24"/>
              </w:rPr>
              <w:t xml:space="preserve"> của văn bản nếu cần tạm ngưng hiệu lực một phần; </w:t>
            </w:r>
            <w:r>
              <w:rPr>
                <w:color w:val="auto"/>
                <w:sz w:val="24"/>
                <w:szCs w:val="24"/>
                <w:shd w:val="clear" w:color="auto" w:fill="FFFFFF"/>
                <w:lang w:val="nl-NL"/>
              </w:rPr>
              <w:t>giải thích (đối với luật, nghị quyết của Quốc hội, pháp lệnh, nghị quyết của Ủy ban Thường vụ Quốc hội); hướng dẫn áp dụng VBQPPL; cơ chế xử lý đặc biệt theo Nghị quyết số 206/2025/QH15 (cụ thể hình thức văn bản) (nếu có).</w:t>
            </w:r>
          </w:p>
        </w:tc>
      </w:tr>
      <w:tr w14:paraId="59BF55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40" w:hRule="atLeast"/>
          <w:jc w:val="center"/>
        </w:trPr>
        <w:tc>
          <w:tcPr>
            <w:tcW w:w="704" w:type="dxa"/>
          </w:tcPr>
          <w:p w14:paraId="41A45793">
            <w:pPr>
              <w:numPr>
                <w:ilvl w:val="0"/>
                <w:numId w:val="3"/>
              </w:numPr>
              <w:tabs>
                <w:tab w:val="left" w:pos="425"/>
              </w:tabs>
              <w:jc w:val="center"/>
              <w:rPr>
                <w:color w:val="auto"/>
                <w:sz w:val="24"/>
                <w:szCs w:val="24"/>
              </w:rPr>
            </w:pPr>
          </w:p>
        </w:tc>
        <w:tc>
          <w:tcPr>
            <w:tcW w:w="1843" w:type="dxa"/>
          </w:tcPr>
          <w:p w14:paraId="4AEC407F">
            <w:pPr>
              <w:tabs>
                <w:tab w:val="right" w:pos="8640"/>
              </w:tabs>
              <w:jc w:val="both"/>
              <w:rPr>
                <w:color w:val="auto"/>
                <w:sz w:val="24"/>
                <w:szCs w:val="24"/>
              </w:rPr>
            </w:pPr>
            <w:r>
              <w:rPr>
                <w:color w:val="auto"/>
                <w:sz w:val="24"/>
                <w:szCs w:val="24"/>
              </w:rPr>
              <w:t>Thông tư số 28/2013/TT-BKHCN ngày 17/12/2013  quy định kiểm tra nhà nước về đo lường do Bộ trưởng Bộ Khoa học và Công nghệ ban hành</w:t>
            </w:r>
          </w:p>
        </w:tc>
        <w:tc>
          <w:tcPr>
            <w:tcW w:w="1417" w:type="dxa"/>
          </w:tcPr>
          <w:p w14:paraId="32C11D26">
            <w:pPr>
              <w:tabs>
                <w:tab w:val="right" w:pos="8640"/>
              </w:tabs>
              <w:jc w:val="both"/>
              <w:rPr>
                <w:color w:val="auto"/>
                <w:sz w:val="24"/>
                <w:szCs w:val="24"/>
              </w:rPr>
            </w:pPr>
            <w:r>
              <w:rPr>
                <w:color w:val="auto"/>
                <w:sz w:val="24"/>
                <w:szCs w:val="24"/>
              </w:rPr>
              <w:t>Điều 1, Điều 2 Luật Tổ chức chính quyền địa phương ngày 16/06/2025: Không còn tổ chức chính quyền địa phương là UBND cấp huyện và thực hiện tổ chức lại UBND cấp xã</w:t>
            </w:r>
          </w:p>
        </w:tc>
        <w:tc>
          <w:tcPr>
            <w:tcW w:w="4051" w:type="dxa"/>
          </w:tcPr>
          <w:p w14:paraId="2E64BE9D">
            <w:pPr>
              <w:widowControl w:val="0"/>
              <w:spacing w:before="120" w:after="120"/>
              <w:jc w:val="both"/>
              <w:rPr>
                <w:color w:val="auto"/>
                <w:sz w:val="24"/>
                <w:szCs w:val="24"/>
              </w:rPr>
            </w:pPr>
            <w:r>
              <w:rPr>
                <w:color w:val="auto"/>
                <w:sz w:val="24"/>
                <w:szCs w:val="24"/>
              </w:rPr>
              <w:t>Khoản 3, khoản 4 Điều 18</w:t>
            </w:r>
          </w:p>
          <w:p w14:paraId="067BF1C0">
            <w:pPr>
              <w:widowControl w:val="0"/>
              <w:spacing w:before="120" w:after="120"/>
              <w:jc w:val="both"/>
              <w:rPr>
                <w:color w:val="auto"/>
                <w:sz w:val="24"/>
                <w:szCs w:val="24"/>
              </w:rPr>
            </w:pPr>
            <w:r>
              <w:rPr>
                <w:color w:val="auto"/>
                <w:sz w:val="24"/>
                <w:szCs w:val="24"/>
              </w:rPr>
              <w:t>Quy định về cấp huyện không còn phù hợp với mô hình chính quyền địa phương 2 cấp và yêu cầu phân định rõ thẩm quyền hiện nay.</w:t>
            </w:r>
          </w:p>
          <w:p w14:paraId="0C0FB7B9">
            <w:pPr>
              <w:tabs>
                <w:tab w:val="left" w:pos="900"/>
                <w:tab w:val="left" w:pos="2520"/>
              </w:tabs>
              <w:spacing w:before="120"/>
              <w:ind w:right="61"/>
              <w:jc w:val="both"/>
              <w:rPr>
                <w:color w:val="auto"/>
                <w:sz w:val="24"/>
                <w:szCs w:val="24"/>
              </w:rPr>
            </w:pPr>
            <w:r>
              <w:rPr>
                <w:color w:val="auto"/>
                <w:sz w:val="24"/>
                <w:szCs w:val="24"/>
              </w:rPr>
              <w:t>Đã phân định thẩm quyền cho cấp xã tại Nghị định số 132/2025/NĐ-CP ngày 12/6/2025.</w:t>
            </w:r>
          </w:p>
        </w:tc>
        <w:tc>
          <w:tcPr>
            <w:tcW w:w="1394" w:type="dxa"/>
          </w:tcPr>
          <w:p w14:paraId="03C342D8">
            <w:pPr>
              <w:jc w:val="center"/>
              <w:rPr>
                <w:color w:val="auto"/>
                <w:sz w:val="24"/>
                <w:szCs w:val="24"/>
              </w:rPr>
            </w:pPr>
            <w:r>
              <w:rPr>
                <w:color w:val="auto"/>
                <w:sz w:val="24"/>
                <w:szCs w:val="24"/>
              </w:rPr>
              <w:t>Thông tư thay thế</w:t>
            </w:r>
          </w:p>
        </w:tc>
        <w:tc>
          <w:tcPr>
            <w:tcW w:w="1275" w:type="dxa"/>
          </w:tcPr>
          <w:p w14:paraId="7D7460FF">
            <w:pPr>
              <w:jc w:val="center"/>
              <w:rPr>
                <w:color w:val="auto"/>
                <w:sz w:val="24"/>
                <w:szCs w:val="24"/>
              </w:rPr>
            </w:pPr>
            <w:r>
              <w:rPr>
                <w:color w:val="auto"/>
                <w:sz w:val="24"/>
                <w:szCs w:val="24"/>
              </w:rPr>
              <w:t>Tháng 3/2027</w:t>
            </w:r>
          </w:p>
        </w:tc>
        <w:tc>
          <w:tcPr>
            <w:tcW w:w="1245" w:type="dxa"/>
          </w:tcPr>
          <w:p w14:paraId="311BFFA6">
            <w:pPr>
              <w:jc w:val="both"/>
              <w:rPr>
                <w:rFonts w:hint="default"/>
                <w:color w:val="auto"/>
                <w:sz w:val="24"/>
                <w:szCs w:val="24"/>
                <w:lang w:val="en-US"/>
              </w:rPr>
            </w:pPr>
            <w:r>
              <w:rPr>
                <w:color w:val="auto"/>
                <w:sz w:val="24"/>
                <w:szCs w:val="24"/>
              </w:rPr>
              <w:t>Tiêu chí 2</w:t>
            </w:r>
            <w:r>
              <w:rPr>
                <w:rFonts w:hint="default"/>
                <w:color w:val="auto"/>
                <w:sz w:val="24"/>
                <w:szCs w:val="24"/>
                <w:lang w:val="en-US"/>
              </w:rPr>
              <w:t>.3</w:t>
            </w:r>
          </w:p>
        </w:tc>
        <w:tc>
          <w:tcPr>
            <w:tcW w:w="1308" w:type="dxa"/>
            <w:vMerge w:val="continue"/>
          </w:tcPr>
          <w:p w14:paraId="1FA2AD13">
            <w:pPr>
              <w:jc w:val="center"/>
              <w:rPr>
                <w:color w:val="auto"/>
                <w:sz w:val="24"/>
                <w:szCs w:val="24"/>
              </w:rPr>
            </w:pPr>
          </w:p>
        </w:tc>
        <w:tc>
          <w:tcPr>
            <w:tcW w:w="2410" w:type="dxa"/>
          </w:tcPr>
          <w:p w14:paraId="6DA612BD">
            <w:pPr>
              <w:ind w:firstLine="284"/>
              <w:jc w:val="both"/>
              <w:rPr>
                <w:color w:val="auto"/>
                <w:sz w:val="24"/>
                <w:szCs w:val="24"/>
              </w:rPr>
            </w:pPr>
            <w:r>
              <w:rPr>
                <w:color w:val="auto"/>
                <w:sz w:val="24"/>
                <w:szCs w:val="24"/>
              </w:rPr>
              <w:t>Nhất trí.</w:t>
            </w:r>
          </w:p>
        </w:tc>
      </w:tr>
      <w:tr w14:paraId="407173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376" w:hRule="atLeast"/>
          <w:jc w:val="center"/>
        </w:trPr>
        <w:tc>
          <w:tcPr>
            <w:tcW w:w="704" w:type="dxa"/>
            <w:vMerge w:val="restart"/>
          </w:tcPr>
          <w:p w14:paraId="69361992">
            <w:pPr>
              <w:numPr>
                <w:ilvl w:val="0"/>
                <w:numId w:val="3"/>
              </w:numPr>
              <w:tabs>
                <w:tab w:val="left" w:pos="425"/>
              </w:tabs>
              <w:jc w:val="center"/>
              <w:rPr>
                <w:color w:val="auto"/>
                <w:sz w:val="24"/>
                <w:szCs w:val="24"/>
              </w:rPr>
            </w:pPr>
          </w:p>
        </w:tc>
        <w:tc>
          <w:tcPr>
            <w:tcW w:w="1843" w:type="dxa"/>
            <w:vMerge w:val="restart"/>
            <w:tcBorders>
              <w:right w:val="single" w:color="000000" w:sz="4" w:space="0"/>
            </w:tcBorders>
          </w:tcPr>
          <w:p w14:paraId="588044D3">
            <w:pPr>
              <w:tabs>
                <w:tab w:val="right" w:pos="8640"/>
              </w:tabs>
              <w:jc w:val="both"/>
              <w:rPr>
                <w:rFonts w:hint="default"/>
                <w:color w:val="auto"/>
                <w:sz w:val="24"/>
                <w:szCs w:val="24"/>
                <w:lang w:val="en-US"/>
              </w:rPr>
            </w:pPr>
            <w:r>
              <w:rPr>
                <w:color w:val="auto"/>
                <w:sz w:val="24"/>
                <w:szCs w:val="24"/>
              </w:rPr>
              <w:t>Thông tư số 21/2014/TT-BKHCN</w:t>
            </w:r>
            <w:r>
              <w:rPr>
                <w:rFonts w:hint="default"/>
                <w:b w:val="0"/>
                <w:bCs w:val="0"/>
                <w:color w:val="auto"/>
                <w:sz w:val="24"/>
                <w:szCs w:val="24"/>
                <w:lang w:val="en-US"/>
              </w:rPr>
              <w:t xml:space="preserve"> </w:t>
            </w:r>
            <w:r>
              <w:rPr>
                <w:b w:val="0"/>
                <w:bCs w:val="0"/>
                <w:color w:val="auto"/>
                <w:sz w:val="24"/>
                <w:szCs w:val="24"/>
              </w:rPr>
              <w:t xml:space="preserve">ngày 15/7/2014 </w:t>
            </w:r>
            <w:r>
              <w:rPr>
                <w:b w:val="0"/>
                <w:bCs w:val="0"/>
                <w:color w:val="auto"/>
                <w:sz w:val="24"/>
                <w:szCs w:val="24"/>
                <w:lang w:val="vi-VN"/>
              </w:rPr>
              <w:t>quy định về đo lường đối với lượng của hàng đóng gói sẵn</w:t>
            </w:r>
          </w:p>
        </w:tc>
        <w:tc>
          <w:tcPr>
            <w:tcW w:w="1417" w:type="dxa"/>
            <w:tcBorders>
              <w:left w:val="single" w:color="000000" w:sz="4" w:space="0"/>
              <w:bottom w:val="single" w:color="000000" w:sz="4" w:space="0"/>
            </w:tcBorders>
          </w:tcPr>
          <w:p w14:paraId="3AB08AC7">
            <w:pPr>
              <w:spacing w:before="120" w:after="120"/>
              <w:jc w:val="both"/>
              <w:rPr>
                <w:color w:val="auto"/>
                <w:sz w:val="24"/>
                <w:szCs w:val="24"/>
              </w:rPr>
            </w:pPr>
            <w:r>
              <w:rPr>
                <w:color w:val="auto"/>
                <w:sz w:val="24"/>
                <w:szCs w:val="24"/>
              </w:rPr>
              <w:t>Tình hình thực tiễn</w:t>
            </w:r>
          </w:p>
          <w:p w14:paraId="53E50B4A">
            <w:pPr>
              <w:tabs>
                <w:tab w:val="right" w:pos="8640"/>
              </w:tabs>
              <w:jc w:val="both"/>
              <w:rPr>
                <w:color w:val="auto"/>
                <w:sz w:val="24"/>
                <w:szCs w:val="24"/>
              </w:rPr>
            </w:pPr>
            <w:r>
              <w:rPr>
                <w:color w:val="auto"/>
                <w:sz w:val="24"/>
                <w:szCs w:val="24"/>
              </w:rPr>
              <w:t>Luật Thanh tra</w:t>
            </w:r>
          </w:p>
          <w:p w14:paraId="1F85FB97">
            <w:pPr>
              <w:tabs>
                <w:tab w:val="right" w:pos="8640"/>
              </w:tabs>
              <w:jc w:val="both"/>
              <w:rPr>
                <w:color w:val="auto"/>
                <w:sz w:val="24"/>
                <w:szCs w:val="24"/>
              </w:rPr>
            </w:pPr>
          </w:p>
        </w:tc>
        <w:tc>
          <w:tcPr>
            <w:tcW w:w="4051" w:type="dxa"/>
            <w:tcBorders>
              <w:bottom w:val="single" w:color="000000" w:sz="4" w:space="0"/>
            </w:tcBorders>
          </w:tcPr>
          <w:p w14:paraId="768C8AFC">
            <w:pPr>
              <w:widowControl w:val="0"/>
              <w:spacing w:before="120" w:after="120"/>
              <w:jc w:val="both"/>
              <w:rPr>
                <w:color w:val="auto"/>
                <w:sz w:val="24"/>
                <w:szCs w:val="24"/>
              </w:rPr>
            </w:pPr>
            <w:r>
              <w:rPr>
                <w:color w:val="auto"/>
                <w:sz w:val="24"/>
                <w:szCs w:val="24"/>
              </w:rPr>
              <w:t xml:space="preserve">Khoản 5 Điều 26, Khoản 2 Điều 27  </w:t>
            </w:r>
          </w:p>
          <w:p w14:paraId="7FF7BE54">
            <w:pPr>
              <w:widowControl w:val="0"/>
              <w:spacing w:before="120" w:after="120"/>
              <w:jc w:val="both"/>
              <w:rPr>
                <w:rFonts w:hint="default"/>
                <w:color w:val="auto"/>
                <w:sz w:val="24"/>
                <w:szCs w:val="24"/>
                <w:lang w:val="en-US"/>
              </w:rPr>
            </w:pPr>
            <w:r>
              <w:rPr>
                <w:color w:val="auto"/>
                <w:sz w:val="24"/>
                <w:szCs w:val="24"/>
              </w:rPr>
              <w:t>Cụm từ “thanh tra”  không còn phù hợp với pháp luật thanh tra do không còn quy định thanh tra chuyên ngành</w:t>
            </w:r>
            <w:r>
              <w:rPr>
                <w:rFonts w:hint="default"/>
                <w:color w:val="auto"/>
                <w:sz w:val="24"/>
                <w:szCs w:val="24"/>
                <w:lang w:val="en-US"/>
              </w:rPr>
              <w:t>.</w:t>
            </w:r>
          </w:p>
          <w:p w14:paraId="415AD1EC">
            <w:pPr>
              <w:widowControl w:val="0"/>
              <w:spacing w:before="120" w:after="120"/>
              <w:jc w:val="both"/>
              <w:rPr>
                <w:rFonts w:hint="default"/>
                <w:b w:val="0"/>
                <w:bCs/>
                <w:color w:val="auto"/>
                <w:sz w:val="24"/>
                <w:szCs w:val="24"/>
                <w:lang w:val="en-US"/>
              </w:rPr>
            </w:pPr>
            <w:r>
              <w:rPr>
                <w:b w:val="0"/>
                <w:bCs/>
                <w:color w:val="auto"/>
                <w:sz w:val="26"/>
                <w:szCs w:val="26"/>
              </w:rPr>
              <w:t xml:space="preserve">Xác định cơ quan/chức danh thay thế Chi cục </w:t>
            </w:r>
            <w:r>
              <w:rPr>
                <w:color w:val="auto"/>
                <w:sz w:val="24"/>
                <w:szCs w:val="24"/>
              </w:rPr>
              <w:t>Tiêu chuẩn Đo lường Chất lượng</w:t>
            </w:r>
            <w:r>
              <w:rPr>
                <w:b w:val="0"/>
                <w:bCs/>
                <w:color w:val="auto"/>
                <w:sz w:val="26"/>
                <w:szCs w:val="26"/>
              </w:rPr>
              <w:t xml:space="preserve"> và chủ thể thực hiện kiểm tra.</w:t>
            </w:r>
          </w:p>
        </w:tc>
        <w:tc>
          <w:tcPr>
            <w:tcW w:w="1394" w:type="dxa"/>
            <w:tcBorders>
              <w:bottom w:val="single" w:color="000000" w:sz="4" w:space="0"/>
            </w:tcBorders>
          </w:tcPr>
          <w:p w14:paraId="6282E7F9">
            <w:pPr>
              <w:jc w:val="center"/>
              <w:rPr>
                <w:color w:val="auto"/>
                <w:sz w:val="24"/>
                <w:szCs w:val="24"/>
              </w:rPr>
            </w:pPr>
            <w:r>
              <w:rPr>
                <w:color w:val="auto"/>
                <w:sz w:val="24"/>
                <w:szCs w:val="24"/>
              </w:rPr>
              <w:t>Thông tư thay thế</w:t>
            </w:r>
          </w:p>
        </w:tc>
        <w:tc>
          <w:tcPr>
            <w:tcW w:w="1275" w:type="dxa"/>
            <w:tcBorders>
              <w:bottom w:val="single" w:color="000000" w:sz="4" w:space="0"/>
            </w:tcBorders>
          </w:tcPr>
          <w:p w14:paraId="60759607">
            <w:pPr>
              <w:jc w:val="center"/>
              <w:rPr>
                <w:color w:val="auto"/>
                <w:sz w:val="24"/>
                <w:szCs w:val="24"/>
              </w:rPr>
            </w:pPr>
            <w:r>
              <w:rPr>
                <w:color w:val="auto"/>
                <w:sz w:val="24"/>
                <w:szCs w:val="24"/>
              </w:rPr>
              <w:t>Tháng 3/2027</w:t>
            </w:r>
          </w:p>
        </w:tc>
        <w:tc>
          <w:tcPr>
            <w:tcW w:w="1245" w:type="dxa"/>
            <w:tcBorders>
              <w:bottom w:val="single" w:color="000000" w:sz="4" w:space="0"/>
            </w:tcBorders>
          </w:tcPr>
          <w:p w14:paraId="74429795">
            <w:pPr>
              <w:jc w:val="both"/>
              <w:rPr>
                <w:color w:val="auto"/>
                <w:sz w:val="24"/>
                <w:szCs w:val="24"/>
              </w:rPr>
            </w:pPr>
            <w:r>
              <w:rPr>
                <w:color w:val="auto"/>
                <w:sz w:val="24"/>
                <w:szCs w:val="24"/>
              </w:rPr>
              <w:t>Tiêu chí 2</w:t>
            </w:r>
          </w:p>
        </w:tc>
        <w:tc>
          <w:tcPr>
            <w:tcW w:w="1308" w:type="dxa"/>
            <w:vMerge w:val="continue"/>
          </w:tcPr>
          <w:p w14:paraId="2765249D">
            <w:pPr>
              <w:ind w:right="100"/>
              <w:jc w:val="both"/>
              <w:rPr>
                <w:color w:val="auto"/>
                <w:sz w:val="24"/>
                <w:szCs w:val="24"/>
              </w:rPr>
            </w:pPr>
          </w:p>
        </w:tc>
        <w:tc>
          <w:tcPr>
            <w:tcW w:w="2410" w:type="dxa"/>
            <w:vMerge w:val="restart"/>
          </w:tcPr>
          <w:p w14:paraId="4305F2F1">
            <w:pPr>
              <w:ind w:right="100" w:firstLine="284"/>
              <w:jc w:val="both"/>
              <w:rPr>
                <w:color w:val="auto"/>
                <w:sz w:val="24"/>
                <w:szCs w:val="24"/>
              </w:rPr>
            </w:pPr>
            <w:r>
              <w:rPr>
                <w:color w:val="auto"/>
                <w:sz w:val="24"/>
                <w:szCs w:val="24"/>
              </w:rPr>
              <w:t>- Cần làm rõ, bổ sung thêm nội dung phân tích cụ thể các quy định cần xử lý.</w:t>
            </w:r>
          </w:p>
          <w:p w14:paraId="3B7552DA">
            <w:pPr>
              <w:ind w:right="100" w:firstLine="284"/>
              <w:jc w:val="both"/>
              <w:rPr>
                <w:color w:val="auto"/>
                <w:sz w:val="24"/>
                <w:szCs w:val="24"/>
              </w:rPr>
            </w:pPr>
            <w:r>
              <w:rPr>
                <w:color w:val="auto"/>
                <w:sz w:val="24"/>
                <w:szCs w:val="24"/>
              </w:rPr>
              <w:t>- Đề nghị bổ sung đầy đủ tên thông tư.</w:t>
            </w:r>
          </w:p>
        </w:tc>
      </w:tr>
      <w:tr w14:paraId="56B6D9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326" w:hRule="atLeast"/>
          <w:jc w:val="center"/>
        </w:trPr>
        <w:tc>
          <w:tcPr>
            <w:tcW w:w="704" w:type="dxa"/>
            <w:vMerge w:val="continue"/>
          </w:tcPr>
          <w:p w14:paraId="7F8E7519">
            <w:pPr>
              <w:widowControl w:val="0"/>
              <w:spacing w:line="276" w:lineRule="auto"/>
              <w:rPr>
                <w:color w:val="auto"/>
                <w:sz w:val="24"/>
                <w:szCs w:val="24"/>
              </w:rPr>
            </w:pPr>
          </w:p>
        </w:tc>
        <w:tc>
          <w:tcPr>
            <w:tcW w:w="1843" w:type="dxa"/>
            <w:vMerge w:val="continue"/>
            <w:tcBorders>
              <w:right w:val="single" w:color="000000" w:sz="4" w:space="0"/>
            </w:tcBorders>
          </w:tcPr>
          <w:p w14:paraId="19E68BCB">
            <w:pPr>
              <w:widowControl w:val="0"/>
              <w:spacing w:line="276" w:lineRule="auto"/>
              <w:rPr>
                <w:color w:val="auto"/>
                <w:sz w:val="24"/>
                <w:szCs w:val="24"/>
              </w:rPr>
            </w:pPr>
          </w:p>
        </w:tc>
        <w:tc>
          <w:tcPr>
            <w:tcW w:w="1417" w:type="dxa"/>
            <w:tcBorders>
              <w:top w:val="single" w:color="000000" w:sz="4" w:space="0"/>
              <w:left w:val="single" w:color="000000" w:sz="4" w:space="0"/>
            </w:tcBorders>
          </w:tcPr>
          <w:p w14:paraId="13684B63">
            <w:pPr>
              <w:tabs>
                <w:tab w:val="right" w:pos="8640"/>
              </w:tabs>
              <w:jc w:val="both"/>
              <w:rPr>
                <w:color w:val="auto"/>
                <w:sz w:val="24"/>
                <w:szCs w:val="24"/>
              </w:rPr>
            </w:pPr>
            <w:r>
              <w:rPr>
                <w:color w:val="auto"/>
                <w:sz w:val="24"/>
                <w:szCs w:val="24"/>
              </w:rPr>
              <w:t>Tình hình thực tiễn</w:t>
            </w:r>
          </w:p>
          <w:p w14:paraId="00425585">
            <w:pPr>
              <w:tabs>
                <w:tab w:val="right" w:pos="8640"/>
              </w:tabs>
              <w:jc w:val="both"/>
              <w:rPr>
                <w:color w:val="auto"/>
                <w:sz w:val="24"/>
                <w:szCs w:val="24"/>
              </w:rPr>
            </w:pPr>
          </w:p>
          <w:p w14:paraId="1F1EA2D8">
            <w:pPr>
              <w:tabs>
                <w:tab w:val="right" w:pos="8640"/>
              </w:tabs>
              <w:jc w:val="both"/>
              <w:rPr>
                <w:color w:val="auto"/>
                <w:sz w:val="24"/>
                <w:szCs w:val="24"/>
              </w:rPr>
            </w:pPr>
          </w:p>
        </w:tc>
        <w:tc>
          <w:tcPr>
            <w:tcW w:w="4051" w:type="dxa"/>
            <w:tcBorders>
              <w:top w:val="single" w:color="000000" w:sz="4" w:space="0"/>
            </w:tcBorders>
          </w:tcPr>
          <w:p w14:paraId="0F09EE38">
            <w:pPr>
              <w:widowControl w:val="0"/>
              <w:spacing w:before="120" w:after="120"/>
              <w:jc w:val="both"/>
              <w:rPr>
                <w:color w:val="auto"/>
                <w:sz w:val="24"/>
                <w:szCs w:val="24"/>
              </w:rPr>
            </w:pPr>
            <w:r>
              <w:rPr>
                <w:color w:val="auto"/>
                <w:sz w:val="24"/>
                <w:szCs w:val="24"/>
              </w:rPr>
              <w:t>Khoản 1 Điều 12, Khoản 1 Điều 27</w:t>
            </w:r>
          </w:p>
          <w:p w14:paraId="4F8AAF1C">
            <w:pPr>
              <w:widowControl w:val="0"/>
              <w:spacing w:before="120" w:after="120"/>
              <w:jc w:val="both"/>
              <w:rPr>
                <w:color w:val="auto"/>
                <w:sz w:val="24"/>
                <w:szCs w:val="24"/>
              </w:rPr>
            </w:pPr>
            <w:r>
              <w:rPr>
                <w:color w:val="auto"/>
                <w:sz w:val="24"/>
                <w:szCs w:val="24"/>
              </w:rPr>
              <w:t>Một số địa phương không còn duy trì Chi cục Tiêu chuẩn Đo lường Chất lượng.</w:t>
            </w:r>
          </w:p>
        </w:tc>
        <w:tc>
          <w:tcPr>
            <w:tcW w:w="1394" w:type="dxa"/>
            <w:tcBorders>
              <w:top w:val="single" w:color="000000" w:sz="4" w:space="0"/>
            </w:tcBorders>
          </w:tcPr>
          <w:p w14:paraId="224929F8">
            <w:pPr>
              <w:jc w:val="center"/>
              <w:rPr>
                <w:color w:val="auto"/>
                <w:sz w:val="24"/>
                <w:szCs w:val="24"/>
              </w:rPr>
            </w:pPr>
            <w:r>
              <w:rPr>
                <w:color w:val="auto"/>
                <w:sz w:val="24"/>
                <w:szCs w:val="24"/>
              </w:rPr>
              <w:t>Thông tư thay thế</w:t>
            </w:r>
          </w:p>
        </w:tc>
        <w:tc>
          <w:tcPr>
            <w:tcW w:w="1275" w:type="dxa"/>
            <w:tcBorders>
              <w:top w:val="single" w:color="000000" w:sz="4" w:space="0"/>
            </w:tcBorders>
          </w:tcPr>
          <w:p w14:paraId="35024E9F">
            <w:pPr>
              <w:jc w:val="center"/>
              <w:rPr>
                <w:color w:val="auto"/>
                <w:sz w:val="24"/>
                <w:szCs w:val="24"/>
              </w:rPr>
            </w:pPr>
            <w:r>
              <w:rPr>
                <w:color w:val="auto"/>
                <w:sz w:val="24"/>
                <w:szCs w:val="24"/>
              </w:rPr>
              <w:t>Tháng 3/2027</w:t>
            </w:r>
          </w:p>
        </w:tc>
        <w:tc>
          <w:tcPr>
            <w:tcW w:w="1245" w:type="dxa"/>
            <w:tcBorders>
              <w:top w:val="single" w:color="000000" w:sz="4" w:space="0"/>
            </w:tcBorders>
          </w:tcPr>
          <w:p w14:paraId="3CBDC4BE">
            <w:pPr>
              <w:jc w:val="both"/>
              <w:rPr>
                <w:color w:val="auto"/>
                <w:sz w:val="24"/>
                <w:szCs w:val="24"/>
              </w:rPr>
            </w:pPr>
            <w:r>
              <w:rPr>
                <w:color w:val="auto"/>
                <w:sz w:val="24"/>
                <w:szCs w:val="24"/>
              </w:rPr>
              <w:t>Tiêu chí 2</w:t>
            </w:r>
          </w:p>
        </w:tc>
        <w:tc>
          <w:tcPr>
            <w:tcW w:w="1308" w:type="dxa"/>
            <w:vMerge w:val="continue"/>
          </w:tcPr>
          <w:p w14:paraId="47FFC392">
            <w:pPr>
              <w:widowControl w:val="0"/>
              <w:rPr>
                <w:color w:val="auto"/>
                <w:sz w:val="24"/>
                <w:szCs w:val="24"/>
              </w:rPr>
            </w:pPr>
          </w:p>
        </w:tc>
        <w:tc>
          <w:tcPr>
            <w:tcW w:w="2410" w:type="dxa"/>
            <w:vMerge w:val="continue"/>
          </w:tcPr>
          <w:p w14:paraId="475910C5">
            <w:pPr>
              <w:widowControl w:val="0"/>
              <w:ind w:firstLine="284"/>
              <w:jc w:val="both"/>
              <w:rPr>
                <w:color w:val="auto"/>
                <w:sz w:val="24"/>
                <w:szCs w:val="24"/>
              </w:rPr>
            </w:pPr>
          </w:p>
        </w:tc>
      </w:tr>
      <w:tr w14:paraId="06E9F5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04" w:type="dxa"/>
          </w:tcPr>
          <w:p w14:paraId="39D7F82E">
            <w:pPr>
              <w:numPr>
                <w:ilvl w:val="0"/>
                <w:numId w:val="3"/>
              </w:numPr>
              <w:tabs>
                <w:tab w:val="left" w:pos="425"/>
              </w:tabs>
              <w:jc w:val="center"/>
              <w:rPr>
                <w:color w:val="auto"/>
                <w:sz w:val="24"/>
                <w:szCs w:val="24"/>
              </w:rPr>
            </w:pPr>
          </w:p>
        </w:tc>
        <w:tc>
          <w:tcPr>
            <w:tcW w:w="1843" w:type="dxa"/>
          </w:tcPr>
          <w:p w14:paraId="49CA329A">
            <w:pPr>
              <w:tabs>
                <w:tab w:val="right" w:pos="8640"/>
              </w:tabs>
              <w:jc w:val="both"/>
              <w:rPr>
                <w:color w:val="auto"/>
                <w:sz w:val="24"/>
                <w:szCs w:val="24"/>
              </w:rPr>
            </w:pPr>
            <w:r>
              <w:rPr>
                <w:color w:val="auto"/>
                <w:sz w:val="24"/>
                <w:szCs w:val="24"/>
              </w:rPr>
              <w:t>Thông tư số 26/2014/TT-BKHCN ngày 10/10/2014 của Bộ trưởng Bộ Khoa học và Công nghệ quy định chi tiết thi hành Quyết định số 19/2014/QĐ-TTg ngày 05/3/2014 của Thủ tướng Chính phủ về việc áp dụng Hệ thống quản lý chất lượng theo Tiêu chuẩn quốc gia TCVN ISO 9001:2008 vào hoạt động của các cơ quan, tổ chức thuộc hệ thống hành chính nhà nước</w:t>
            </w:r>
          </w:p>
        </w:tc>
        <w:tc>
          <w:tcPr>
            <w:tcW w:w="1417" w:type="dxa"/>
          </w:tcPr>
          <w:p w14:paraId="319B7464">
            <w:pPr>
              <w:tabs>
                <w:tab w:val="right" w:pos="8640"/>
              </w:tabs>
              <w:jc w:val="both"/>
              <w:rPr>
                <w:rFonts w:hint="default"/>
                <w:color w:val="auto"/>
                <w:sz w:val="24"/>
                <w:szCs w:val="24"/>
                <w:lang w:val="en-US"/>
              </w:rPr>
            </w:pPr>
            <w:r>
              <w:rPr>
                <w:color w:val="auto"/>
                <w:sz w:val="24"/>
                <w:szCs w:val="24"/>
              </w:rPr>
              <w:t>Thông tư số 01/2018/VP-CP ngày 23</w:t>
            </w:r>
            <w:r>
              <w:rPr>
                <w:rFonts w:hint="default"/>
                <w:color w:val="auto"/>
                <w:sz w:val="24"/>
                <w:szCs w:val="24"/>
                <w:lang w:val="en-US"/>
              </w:rPr>
              <w:t>/</w:t>
            </w:r>
            <w:r>
              <w:rPr>
                <w:color w:val="auto"/>
                <w:sz w:val="24"/>
                <w:szCs w:val="24"/>
              </w:rPr>
              <w:t>8</w:t>
            </w:r>
            <w:r>
              <w:rPr>
                <w:rFonts w:hint="default"/>
                <w:color w:val="auto"/>
                <w:sz w:val="24"/>
                <w:szCs w:val="24"/>
                <w:lang w:val="en-US"/>
              </w:rPr>
              <w:t>/</w:t>
            </w:r>
            <w:r>
              <w:rPr>
                <w:color w:val="auto"/>
                <w:sz w:val="24"/>
                <w:szCs w:val="24"/>
              </w:rPr>
              <w:t>2018 của Văn phòng Chính phủ</w:t>
            </w:r>
            <w:r>
              <w:rPr>
                <w:rFonts w:hint="default"/>
                <w:color w:val="auto"/>
                <w:sz w:val="24"/>
                <w:szCs w:val="24"/>
                <w:lang w:val="en-US"/>
              </w:rPr>
              <w:t xml:space="preserve"> </w:t>
            </w:r>
            <w:r>
              <w:rPr>
                <w:b w:val="0"/>
                <w:bCs w:val="0"/>
                <w:color w:val="auto"/>
                <w:sz w:val="24"/>
                <w:szCs w:val="24"/>
              </w:rPr>
              <w:t>hướng dẫn thi hành một số quy định của nghị định số 61/2018/NĐ-CP ngày 23 tháng 4 năm 2018 của chính phủ về thực hiện cơ chế một cửa, một cửa liên thông trong giải quyết thủ tục hành chính</w:t>
            </w:r>
          </w:p>
        </w:tc>
        <w:tc>
          <w:tcPr>
            <w:tcW w:w="4051" w:type="dxa"/>
          </w:tcPr>
          <w:p w14:paraId="13DD8171">
            <w:pPr>
              <w:tabs>
                <w:tab w:val="left" w:pos="900"/>
                <w:tab w:val="left" w:pos="2520"/>
              </w:tabs>
              <w:spacing w:before="120"/>
              <w:ind w:right="61"/>
              <w:jc w:val="both"/>
              <w:rPr>
                <w:color w:val="auto"/>
                <w:sz w:val="24"/>
                <w:szCs w:val="24"/>
              </w:rPr>
            </w:pPr>
            <w:r>
              <w:rPr>
                <w:color w:val="auto"/>
                <w:sz w:val="24"/>
                <w:szCs w:val="24"/>
              </w:rPr>
              <w:t>Điều 7 Thông tư số 26/2014/TT-BKHCN quy định thẩm quyền phê duyệt quy trình giải quyết thủ tục hành chính là Thủ trưởng cơ quan, không thống nhất với thẩm quyền quy định tại khoản 3 Điều 8 Thông tư số 01/2018/VP-CP ngày 23 tháng 8 năm 2018 của Văn phòng Chính phủ (UBND cấp tỉnh phê duyệt)</w:t>
            </w:r>
            <w:r>
              <w:rPr>
                <w:b/>
                <w:bCs/>
                <w:i/>
                <w:iCs/>
                <w:color w:val="auto"/>
                <w:sz w:val="24"/>
                <w:szCs w:val="24"/>
              </w:rPr>
              <w:t xml:space="preserve"> </w:t>
            </w:r>
          </w:p>
        </w:tc>
        <w:tc>
          <w:tcPr>
            <w:tcW w:w="1394" w:type="dxa"/>
          </w:tcPr>
          <w:p w14:paraId="6D086CF7">
            <w:pPr>
              <w:jc w:val="center"/>
              <w:rPr>
                <w:color w:val="auto"/>
                <w:sz w:val="24"/>
                <w:szCs w:val="24"/>
              </w:rPr>
            </w:pPr>
            <w:r>
              <w:rPr>
                <w:color w:val="auto"/>
                <w:sz w:val="24"/>
                <w:szCs w:val="24"/>
              </w:rPr>
              <w:t>Thông tư thay thế</w:t>
            </w:r>
          </w:p>
        </w:tc>
        <w:tc>
          <w:tcPr>
            <w:tcW w:w="1275" w:type="dxa"/>
          </w:tcPr>
          <w:p w14:paraId="00593BE7">
            <w:pPr>
              <w:jc w:val="center"/>
              <w:rPr>
                <w:color w:val="auto"/>
                <w:sz w:val="24"/>
                <w:szCs w:val="24"/>
              </w:rPr>
            </w:pPr>
            <w:r>
              <w:rPr>
                <w:color w:val="auto"/>
                <w:sz w:val="24"/>
                <w:szCs w:val="24"/>
              </w:rPr>
              <w:t>Theo kế hoạch xử lý Quyết định số 19/2014/QĐ-TTg</w:t>
            </w:r>
          </w:p>
        </w:tc>
        <w:tc>
          <w:tcPr>
            <w:tcW w:w="1245" w:type="dxa"/>
          </w:tcPr>
          <w:p w14:paraId="177E44D7">
            <w:pPr>
              <w:jc w:val="both"/>
              <w:rPr>
                <w:color w:val="auto"/>
                <w:sz w:val="24"/>
                <w:szCs w:val="24"/>
              </w:rPr>
            </w:pPr>
            <w:r>
              <w:rPr>
                <w:color w:val="auto"/>
                <w:sz w:val="24"/>
                <w:szCs w:val="24"/>
              </w:rPr>
              <w:t>Tiêu chí  2</w:t>
            </w:r>
          </w:p>
        </w:tc>
        <w:tc>
          <w:tcPr>
            <w:tcW w:w="1308" w:type="dxa"/>
          </w:tcPr>
          <w:p w14:paraId="1FB657BD">
            <w:pPr>
              <w:jc w:val="center"/>
              <w:rPr>
                <w:color w:val="auto"/>
                <w:sz w:val="24"/>
                <w:szCs w:val="24"/>
              </w:rPr>
            </w:pPr>
          </w:p>
        </w:tc>
        <w:tc>
          <w:tcPr>
            <w:tcW w:w="2410" w:type="dxa"/>
          </w:tcPr>
          <w:p w14:paraId="35D08574">
            <w:pPr>
              <w:ind w:firstLine="284"/>
              <w:jc w:val="both"/>
              <w:rPr>
                <w:color w:val="auto"/>
                <w:sz w:val="24"/>
                <w:szCs w:val="24"/>
              </w:rPr>
            </w:pPr>
            <w:r>
              <w:rPr>
                <w:color w:val="auto"/>
                <w:sz w:val="24"/>
                <w:szCs w:val="24"/>
              </w:rPr>
              <w:t>- Nhất trí.</w:t>
            </w:r>
          </w:p>
          <w:p w14:paraId="4C797DDB">
            <w:pPr>
              <w:ind w:firstLine="284"/>
              <w:jc w:val="both"/>
              <w:rPr>
                <w:color w:val="auto"/>
                <w:sz w:val="24"/>
                <w:szCs w:val="24"/>
              </w:rPr>
            </w:pPr>
            <w:r>
              <w:rPr>
                <w:color w:val="auto"/>
                <w:sz w:val="24"/>
                <w:szCs w:val="24"/>
              </w:rPr>
              <w:t>- Chỉnh lý tên văn bản là căn cứ rà soát cho đầy đủ.</w:t>
            </w:r>
          </w:p>
          <w:p w14:paraId="114619BF">
            <w:pPr>
              <w:ind w:firstLine="284"/>
              <w:jc w:val="both"/>
              <w:rPr>
                <w:color w:val="auto"/>
                <w:sz w:val="24"/>
                <w:szCs w:val="24"/>
              </w:rPr>
            </w:pPr>
          </w:p>
        </w:tc>
      </w:tr>
      <w:tr w14:paraId="222AC2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04" w:type="dxa"/>
          </w:tcPr>
          <w:p w14:paraId="41CAA5CA">
            <w:pPr>
              <w:numPr>
                <w:ilvl w:val="0"/>
                <w:numId w:val="3"/>
              </w:numPr>
              <w:tabs>
                <w:tab w:val="left" w:pos="425"/>
              </w:tabs>
              <w:jc w:val="center"/>
              <w:rPr>
                <w:color w:val="auto"/>
                <w:sz w:val="24"/>
                <w:szCs w:val="24"/>
              </w:rPr>
            </w:pPr>
          </w:p>
        </w:tc>
        <w:tc>
          <w:tcPr>
            <w:tcW w:w="1843" w:type="dxa"/>
          </w:tcPr>
          <w:p w14:paraId="22C18EE6">
            <w:pPr>
              <w:tabs>
                <w:tab w:val="right" w:pos="8640"/>
              </w:tabs>
              <w:jc w:val="both"/>
              <w:rPr>
                <w:color w:val="auto"/>
                <w:sz w:val="24"/>
                <w:szCs w:val="24"/>
              </w:rPr>
            </w:pPr>
            <w:r>
              <w:rPr>
                <w:color w:val="auto"/>
                <w:sz w:val="24"/>
                <w:szCs w:val="24"/>
              </w:rPr>
              <w:t>Thông tư số 15/2015/TT-BKHCN ngày 25/8/2015 quy định về đo lường, chất lượng trong kinh doanh xăng dầu và trình tự, thủ tục đăng ký cơ sở pha chế xăng dầu tại Việt Nam: Điều 5, Điều 6, Điều 8, Điều 10, Điều 13, Điều 18, Điều 19, Điều 20 và các quy định liên quan.</w:t>
            </w:r>
          </w:p>
        </w:tc>
        <w:tc>
          <w:tcPr>
            <w:tcW w:w="1417" w:type="dxa"/>
          </w:tcPr>
          <w:p w14:paraId="3208C7BA">
            <w:pPr>
              <w:tabs>
                <w:tab w:val="right" w:pos="8640"/>
              </w:tabs>
              <w:jc w:val="both"/>
              <w:rPr>
                <w:color w:val="auto"/>
                <w:sz w:val="24"/>
                <w:szCs w:val="24"/>
              </w:rPr>
            </w:pPr>
            <w:r>
              <w:rPr>
                <w:color w:val="auto"/>
                <w:sz w:val="24"/>
                <w:szCs w:val="24"/>
              </w:rPr>
              <w:t>Tình hình thực tiễn</w:t>
            </w:r>
          </w:p>
        </w:tc>
        <w:tc>
          <w:tcPr>
            <w:tcW w:w="4051" w:type="dxa"/>
          </w:tcPr>
          <w:p w14:paraId="7B92791B">
            <w:pPr>
              <w:tabs>
                <w:tab w:val="left" w:pos="900"/>
                <w:tab w:val="left" w:pos="2520"/>
              </w:tabs>
              <w:spacing w:before="120"/>
              <w:ind w:right="61"/>
              <w:jc w:val="both"/>
              <w:rPr>
                <w:color w:val="auto"/>
                <w:sz w:val="24"/>
                <w:szCs w:val="24"/>
              </w:rPr>
            </w:pPr>
            <w:r>
              <w:rPr>
                <w:color w:val="auto"/>
                <w:sz w:val="24"/>
                <w:szCs w:val="24"/>
              </w:rPr>
              <w:t>- Tại khoản 4 Điều 6 Thông tư số 15 quy định: “Có sẵn các ca đong, bình đong có dung tích 1 L, 2 L, 5 L, 10 L và các ống đong chia độ có phạm vi đo phù hợp và chỉ yêu cầu kiểm định ban đầu ….” Tuy nhiên, trên thực tế khi thanh tra, kiểm tra thì các cửa hàng bán lẻ xăng dầu thường xuyên sử dụng các ca đong, bình đong này để bán lẻ dầu nhớt từ phi 200 lít thì đây là hoạt động giao nhận</w:t>
            </w:r>
          </w:p>
          <w:p w14:paraId="3CA32D0D">
            <w:pPr>
              <w:tabs>
                <w:tab w:val="left" w:pos="900"/>
                <w:tab w:val="left" w:pos="2520"/>
              </w:tabs>
              <w:spacing w:before="120"/>
              <w:ind w:right="61"/>
              <w:jc w:val="both"/>
              <w:rPr>
                <w:color w:val="auto"/>
                <w:sz w:val="24"/>
                <w:szCs w:val="24"/>
              </w:rPr>
            </w:pPr>
            <w:r>
              <w:rPr>
                <w:color w:val="auto"/>
                <w:sz w:val="24"/>
                <w:szCs w:val="24"/>
              </w:rPr>
              <w:t>mua bán có sử dụng phương tiện đo nhóm 2 nên cần thực hiện duy trì hình thức kiểm định định kỳ theo quy định tại Thông tư số 03/2024/TT-BKHCN;</w:t>
            </w:r>
          </w:p>
          <w:p w14:paraId="6BD1D57B">
            <w:pPr>
              <w:tabs>
                <w:tab w:val="left" w:pos="900"/>
                <w:tab w:val="left" w:pos="2520"/>
              </w:tabs>
              <w:spacing w:before="120"/>
              <w:ind w:right="61"/>
              <w:jc w:val="both"/>
              <w:rPr>
                <w:color w:val="auto"/>
                <w:sz w:val="24"/>
                <w:szCs w:val="24"/>
              </w:rPr>
            </w:pPr>
            <w:r>
              <w:rPr>
                <w:color w:val="auto"/>
                <w:sz w:val="24"/>
                <w:szCs w:val="24"/>
              </w:rPr>
              <w:t>- Tại khoản 3 Điều 6 Thông tư số 15 quy định: “Sai số kết quả đo lượng xăng dầu không được vượt quá 1,5 lần giới hạn dương của sai số cho phép của phương tiện đo được sử dụng để bán xăng dầu. Kết quả đo lượng xăng dầu được xác định tại điều kiện đo thực tế”. Sai số cho phép của cột đo xăng dầu là ±0,5%; 1,5 lần giới hạn dương của sai số là +0,75%. Nếu trong trường hợp cột đo xăng dầu vượt quá sai số cho phép (là +0,5%) nhưng thấp hơn +0,75%, thì vẫn chưa vi phạm, nhưng đã gây ra thiệt hại cho người tiêu dùng. Trong trường hợp này, các lực lượng thực thi cũng không thể yêu cầu thực hiện kiểm định lại phương tiện đo, cho dù phương tiện đo đó đang không đảm bảo sai số cho phép.</w:t>
            </w:r>
          </w:p>
          <w:p w14:paraId="15CC744D">
            <w:pPr>
              <w:tabs>
                <w:tab w:val="left" w:pos="900"/>
                <w:tab w:val="left" w:pos="2520"/>
              </w:tabs>
              <w:spacing w:before="120"/>
              <w:ind w:right="61"/>
              <w:jc w:val="both"/>
              <w:rPr>
                <w:color w:val="auto"/>
                <w:sz w:val="24"/>
                <w:szCs w:val="24"/>
              </w:rPr>
            </w:pPr>
            <w:r>
              <w:rPr>
                <w:color w:val="auto"/>
                <w:sz w:val="24"/>
                <w:szCs w:val="24"/>
              </w:rPr>
              <w:t>- Theo quy định tại khoản 1 các Điều 18, 19, 20 của Thông tư số 15 có yêu cầu áp dụng TCVN ISO 9001: 2008 hoặc ISO/TS 29001: 2010. Trong khi đó, các tiêu chuẩn này đã được thay thế bởi (TCVN ISO 9001: 2015; 29001: 2020) gây khó khăn cho doanh nghiệp và không thống nhất với thực tiễn quản lý hiện nay.</w:t>
            </w:r>
          </w:p>
          <w:p w14:paraId="5D54BFBB">
            <w:pPr>
              <w:tabs>
                <w:tab w:val="left" w:pos="900"/>
                <w:tab w:val="left" w:pos="2520"/>
              </w:tabs>
              <w:spacing w:before="120"/>
              <w:ind w:right="61"/>
              <w:jc w:val="both"/>
              <w:rPr>
                <w:color w:val="auto"/>
                <w:sz w:val="24"/>
                <w:szCs w:val="24"/>
              </w:rPr>
            </w:pPr>
            <w:r>
              <w:rPr>
                <w:color w:val="auto"/>
                <w:sz w:val="24"/>
                <w:szCs w:val="24"/>
              </w:rPr>
              <w:t>- Tại khoản 1 Điều 8 Thông tư số 15 quy định: “Việc lấy mẫu xăng dầu được thực hiện theo văn bản kỹ thuật hướng dẫn thực hiện lấy mẫu xăng dầu hiện hành do Tổng cục Tiêu chuẩn Đo lường Chất lượng ban hành”. Văn bản kỹ thuật hướng dẫn thực hiện lấy mẫu xăng dầu hiện hành do Tổng cục TCĐLCL ban hành là Quyết định số 457/QĐ-TĐC ngày 06/04/2016. Tại điểm c mục 3.5.3 Quyết định số 457/QĐ-TĐC quy định thời gian vận chuyển mẫu xăng dầu (đến phòng thử nghiệm) trong thanh tra, kiểm tra chất lượng xăng dầu lưu thông trên thị trường đối với từng đợt lấy mẫu là không quá 05 (năm) ngày làm việc. Quy định này đã thực sự gây khó khăn cho các đoàn thanh, kiểm tra tại các địa phương có địa bàn rộng, đi lại khó khăn, cách xa các phòng thử nghiệm được chỉ định. Bên cạnh đó, tại mục 3.4.1 hướng dẫn: “Số mẫu cần lấy cho thanh tra, kiểm tra, thử nghiệm là 01 mẫu và được chia thành 02 đơn vị mẫu. Một đơn vị mẫu để gửi đi thử nghiệm và một đơn vị mẫu được lưu giữ tại cơ quan thanh tra, kiểm tra”. Trong khi đó, tại Điều 8 Thông tư số 01/2024/TT-BKHCN ngày 18/01/2024 của Bộ trưởng Bộ Khoa học và Công nghệ quy định kiểm tra nhà nước về chất lượng hàng hóa lưu thông trên thị trường lại không quy định cơ quan thanh tra, kiểm tra có quyền lưu giữ đơn vị mẫu, và số lượng đơn vị mẫu cũng không được chia thành 02. Như vậy có sự không thống về quy định cách lấy mẫu tại các Thông tư do Bộ Khoa học và Công nghệ ban hành.</w:t>
            </w:r>
          </w:p>
          <w:p w14:paraId="66275B29">
            <w:pPr>
              <w:tabs>
                <w:tab w:val="left" w:pos="900"/>
                <w:tab w:val="left" w:pos="2520"/>
              </w:tabs>
              <w:spacing w:before="120"/>
              <w:ind w:right="61"/>
              <w:jc w:val="both"/>
              <w:rPr>
                <w:color w:val="auto"/>
                <w:sz w:val="24"/>
                <w:szCs w:val="24"/>
              </w:rPr>
            </w:pPr>
            <w:r>
              <w:rPr>
                <w:color w:val="auto"/>
                <w:sz w:val="24"/>
                <w:szCs w:val="24"/>
              </w:rPr>
              <w:t>+ Một số quy định về quản lý nhà nước và thanh tra, kiểm tra không còn phù hợp trong bối cảnh sắp xếp, sáp nhập cơ quan, đơn vị hành chính và sáp nhập tỉnh.</w:t>
            </w:r>
          </w:p>
          <w:p w14:paraId="488E9564">
            <w:pPr>
              <w:tabs>
                <w:tab w:val="left" w:pos="900"/>
                <w:tab w:val="left" w:pos="2520"/>
              </w:tabs>
              <w:spacing w:before="120"/>
              <w:ind w:right="61"/>
              <w:jc w:val="both"/>
              <w:rPr>
                <w:color w:val="auto"/>
                <w:sz w:val="24"/>
                <w:szCs w:val="24"/>
              </w:rPr>
            </w:pPr>
            <w:r>
              <w:rPr>
                <w:color w:val="auto"/>
                <w:sz w:val="24"/>
                <w:szCs w:val="24"/>
              </w:rPr>
              <w:t>+ Yêu cầu ứng dụng công nghệ thông tin trong quản lý đo lường. Hiện nay, các trụ bơm xăng dầu thông minh đã tích hợp phần mềm quản lý, kết nối truyền dữ liệu hóa đơn điện tử. Việc can thiệp vào phần mềm để gian lận tinh vi hơn, khó phát hiện bằng các phương pháp kiểm tra truyền thống.</w:t>
            </w:r>
          </w:p>
          <w:p w14:paraId="02C03E81">
            <w:pPr>
              <w:tabs>
                <w:tab w:val="left" w:pos="900"/>
                <w:tab w:val="left" w:pos="2520"/>
              </w:tabs>
              <w:spacing w:before="120"/>
              <w:ind w:right="61"/>
              <w:jc w:val="both"/>
              <w:rPr>
                <w:color w:val="auto"/>
                <w:sz w:val="24"/>
                <w:szCs w:val="24"/>
              </w:rPr>
            </w:pPr>
            <w:r>
              <w:rPr>
                <w:color w:val="auto"/>
                <w:sz w:val="24"/>
                <w:szCs w:val="24"/>
              </w:rPr>
              <w:t>+ Việc sử dụng các thiết bị đo mức bồn tự động thay thế cho thước đo thủ công chưa có quy định chi tiết về quy trình kiểm định, hiệu chuẩn thống nhất trong các thông tư này, gây lúng túng khi xác định sai số trong quản lý hao hụt.</w:t>
            </w:r>
          </w:p>
          <w:p w14:paraId="7DB46324">
            <w:pPr>
              <w:tabs>
                <w:tab w:val="left" w:pos="900"/>
                <w:tab w:val="left" w:pos="2520"/>
              </w:tabs>
              <w:spacing w:before="120"/>
              <w:ind w:right="61"/>
              <w:jc w:val="both"/>
              <w:rPr>
                <w:color w:val="auto"/>
                <w:sz w:val="24"/>
                <w:szCs w:val="24"/>
              </w:rPr>
            </w:pPr>
            <w:r>
              <w:rPr>
                <w:color w:val="auto"/>
                <w:sz w:val="24"/>
                <w:szCs w:val="24"/>
              </w:rPr>
              <w:t>+ Thực tế trong những năm gần đây, xuất hiện nhiều điểm kinh doanh xăng dầu sử dụng thiết bị bán xăng dầu quy mô nhỏ. Tuy nhiên, thương nhân là chủ sở hữu thiết bị, chịu trách nhiệm về đo lường, chất lượng xăng dầu không đặt trụ sở chính trên địa bàn tỉnh, gây khó khăn cho các cơ quan chức năng trong công tác quản lý, thanh tra, kiểm tra và xử lý vi phạm theo thẩm quyền.</w:t>
            </w:r>
          </w:p>
          <w:p w14:paraId="78C2EB82">
            <w:pPr>
              <w:tabs>
                <w:tab w:val="left" w:pos="900"/>
                <w:tab w:val="left" w:pos="2520"/>
              </w:tabs>
              <w:spacing w:before="120"/>
              <w:ind w:right="61"/>
              <w:jc w:val="both"/>
              <w:rPr>
                <w:color w:val="auto"/>
                <w:sz w:val="24"/>
                <w:szCs w:val="24"/>
              </w:rPr>
            </w:pPr>
            <w:r>
              <w:rPr>
                <w:color w:val="auto"/>
                <w:sz w:val="24"/>
                <w:szCs w:val="24"/>
              </w:rPr>
              <w:t>+ Phát sinh khiếu nại trong quy đổi kết quả đo: Việc quy đổi kết quả đo lượng xăng dầu về điều kiện cơ sở theo quy định tại khoản 4 Điều 5 Thông tư số 15 được áp dụng trong hoạt động mua bán, thanh toán giữa các tổ chức, cá nhân.</w:t>
            </w:r>
          </w:p>
          <w:p w14:paraId="263F4E8D">
            <w:pPr>
              <w:tabs>
                <w:tab w:val="left" w:pos="900"/>
                <w:tab w:val="left" w:pos="2520"/>
              </w:tabs>
              <w:spacing w:before="120"/>
              <w:ind w:right="61"/>
              <w:jc w:val="both"/>
              <w:rPr>
                <w:color w:val="auto"/>
                <w:sz w:val="24"/>
                <w:szCs w:val="24"/>
              </w:rPr>
            </w:pPr>
            <w:r>
              <w:rPr>
                <w:color w:val="auto"/>
                <w:sz w:val="24"/>
                <w:szCs w:val="24"/>
              </w:rPr>
              <w:t>Tuy nhiên, trong thực tiễn, khi các thương nhân tiếp tục mua bán, trao đổi theo hợp đồng thương mại, việc áp dụng quy định này đôi khi chưa thống nhất, dẫn đến phát sinh khiếu nại, tranh chấp.</w:t>
            </w:r>
          </w:p>
          <w:p w14:paraId="4CB2F070">
            <w:pPr>
              <w:tabs>
                <w:tab w:val="left" w:pos="900"/>
                <w:tab w:val="left" w:pos="2520"/>
              </w:tabs>
              <w:spacing w:before="120"/>
              <w:ind w:right="61"/>
              <w:jc w:val="both"/>
              <w:rPr>
                <w:color w:val="auto"/>
                <w:sz w:val="24"/>
                <w:szCs w:val="24"/>
              </w:rPr>
            </w:pPr>
            <w:r>
              <w:rPr>
                <w:color w:val="auto"/>
                <w:sz w:val="24"/>
                <w:szCs w:val="24"/>
              </w:rPr>
              <w:t>+ Việc xóa bỏ Thanh tra Sở Khoa học và Công nghệ trong bối cảnh các quy định tại Thông tư số 15 và Thông tư số 08 vẫn chưa được sửa đổi kịp thời đã tạo ra một khoảng trống pháp lý trong công tác quản lý nhà nước về xăng dầu tại địa phương.</w:t>
            </w:r>
          </w:p>
          <w:p w14:paraId="72295675">
            <w:pPr>
              <w:tabs>
                <w:tab w:val="left" w:pos="900"/>
                <w:tab w:val="left" w:pos="2520"/>
              </w:tabs>
              <w:spacing w:before="120"/>
              <w:ind w:right="61"/>
              <w:jc w:val="both"/>
              <w:rPr>
                <w:color w:val="auto"/>
                <w:sz w:val="24"/>
                <w:szCs w:val="24"/>
              </w:rPr>
            </w:pPr>
            <w:r>
              <w:rPr>
                <w:color w:val="auto"/>
                <w:sz w:val="24"/>
                <w:szCs w:val="24"/>
              </w:rPr>
              <w:t>+ Sự thay đổi về địa giới hành chính và tổ chức bộ máy sau sáp nhập đòi hỏi việc thống nhất lại các quy trình và hạ tầng kỹ thuật để đáp ứng yêu cầu quản lý nhà nước trong tình hình mới.</w:t>
            </w:r>
          </w:p>
          <w:p w14:paraId="3C3E0B7A">
            <w:pPr>
              <w:tabs>
                <w:tab w:val="left" w:pos="900"/>
                <w:tab w:val="left" w:pos="2520"/>
              </w:tabs>
              <w:spacing w:before="120"/>
              <w:ind w:right="61"/>
              <w:jc w:val="both"/>
              <w:rPr>
                <w:color w:val="auto"/>
                <w:sz w:val="24"/>
                <w:szCs w:val="24"/>
              </w:rPr>
            </w:pPr>
            <w:r>
              <w:rPr>
                <w:color w:val="auto"/>
                <w:sz w:val="24"/>
                <w:szCs w:val="24"/>
              </w:rPr>
              <w:t>+ Nhu cầu tăng cường kết nối dữ liệu trong quản lý chất lượng xăng dầu.</w:t>
            </w:r>
          </w:p>
        </w:tc>
        <w:tc>
          <w:tcPr>
            <w:tcW w:w="1394" w:type="dxa"/>
          </w:tcPr>
          <w:p w14:paraId="52C35B2B">
            <w:pPr>
              <w:jc w:val="center"/>
              <w:rPr>
                <w:color w:val="auto"/>
                <w:sz w:val="24"/>
                <w:szCs w:val="24"/>
              </w:rPr>
            </w:pPr>
            <w:r>
              <w:rPr>
                <w:color w:val="auto"/>
                <w:sz w:val="24"/>
                <w:szCs w:val="24"/>
              </w:rPr>
              <w:t>Văn bản thay thế</w:t>
            </w:r>
          </w:p>
        </w:tc>
        <w:tc>
          <w:tcPr>
            <w:tcW w:w="1275" w:type="dxa"/>
          </w:tcPr>
          <w:p w14:paraId="14A54683">
            <w:pPr>
              <w:jc w:val="center"/>
              <w:rPr>
                <w:color w:val="auto"/>
                <w:sz w:val="24"/>
                <w:szCs w:val="24"/>
              </w:rPr>
            </w:pPr>
            <w:r>
              <w:rPr>
                <w:rFonts w:hint="default"/>
                <w:color w:val="auto"/>
                <w:sz w:val="24"/>
                <w:szCs w:val="24"/>
                <w:lang w:val="en-US"/>
              </w:rPr>
              <w:t>Tháng 12/</w:t>
            </w:r>
            <w:r>
              <w:rPr>
                <w:color w:val="auto"/>
                <w:sz w:val="24"/>
                <w:szCs w:val="24"/>
              </w:rPr>
              <w:t>2026</w:t>
            </w:r>
          </w:p>
        </w:tc>
        <w:tc>
          <w:tcPr>
            <w:tcW w:w="1245" w:type="dxa"/>
          </w:tcPr>
          <w:p w14:paraId="6EB935D2">
            <w:pPr>
              <w:jc w:val="both"/>
              <w:rPr>
                <w:color w:val="auto"/>
                <w:sz w:val="24"/>
                <w:szCs w:val="24"/>
              </w:rPr>
            </w:pPr>
            <w:r>
              <w:rPr>
                <w:color w:val="auto"/>
                <w:sz w:val="24"/>
                <w:szCs w:val="24"/>
              </w:rPr>
              <w:t>Tiêu chí 4</w:t>
            </w:r>
          </w:p>
        </w:tc>
        <w:tc>
          <w:tcPr>
            <w:tcW w:w="1308" w:type="dxa"/>
          </w:tcPr>
          <w:p w14:paraId="2B00990A">
            <w:pPr>
              <w:jc w:val="center"/>
              <w:rPr>
                <w:color w:val="auto"/>
                <w:sz w:val="24"/>
                <w:szCs w:val="24"/>
              </w:rPr>
            </w:pPr>
          </w:p>
        </w:tc>
        <w:tc>
          <w:tcPr>
            <w:tcW w:w="2410" w:type="dxa"/>
          </w:tcPr>
          <w:p w14:paraId="401C6CDA">
            <w:pPr>
              <w:ind w:firstLine="284"/>
              <w:jc w:val="both"/>
              <w:rPr>
                <w:color w:val="auto"/>
                <w:sz w:val="24"/>
                <w:szCs w:val="24"/>
              </w:rPr>
            </w:pPr>
            <w:r>
              <w:rPr>
                <w:color w:val="auto"/>
                <w:sz w:val="24"/>
                <w:szCs w:val="24"/>
              </w:rPr>
              <w:t>Nhất trí.</w:t>
            </w:r>
          </w:p>
        </w:tc>
      </w:tr>
      <w:tr w14:paraId="06593B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04" w:type="dxa"/>
          </w:tcPr>
          <w:p w14:paraId="1AD3B05A">
            <w:pPr>
              <w:numPr>
                <w:ilvl w:val="0"/>
                <w:numId w:val="3"/>
              </w:numPr>
              <w:tabs>
                <w:tab w:val="left" w:pos="425"/>
              </w:tabs>
              <w:jc w:val="center"/>
              <w:rPr>
                <w:color w:val="auto"/>
                <w:sz w:val="24"/>
                <w:szCs w:val="24"/>
              </w:rPr>
            </w:pPr>
          </w:p>
        </w:tc>
        <w:tc>
          <w:tcPr>
            <w:tcW w:w="1843" w:type="dxa"/>
          </w:tcPr>
          <w:p w14:paraId="20D38A93">
            <w:pPr>
              <w:tabs>
                <w:tab w:val="right" w:pos="8640"/>
              </w:tabs>
              <w:jc w:val="both"/>
              <w:rPr>
                <w:rFonts w:hint="default"/>
                <w:color w:val="auto"/>
                <w:sz w:val="24"/>
                <w:szCs w:val="24"/>
                <w:lang w:val="en-US"/>
              </w:rPr>
            </w:pPr>
            <w:r>
              <w:rPr>
                <w:color w:val="auto"/>
                <w:sz w:val="24"/>
                <w:szCs w:val="24"/>
              </w:rPr>
              <w:t>Thông tư số 09/2017/TT-BKHCN</w:t>
            </w:r>
            <w:r>
              <w:rPr>
                <w:rFonts w:hint="default"/>
                <w:color w:val="auto"/>
                <w:sz w:val="24"/>
                <w:szCs w:val="24"/>
                <w:lang w:val="en-US"/>
              </w:rPr>
              <w:t xml:space="preserve"> </w:t>
            </w:r>
            <w:r>
              <w:rPr>
                <w:b w:val="0"/>
                <w:bCs w:val="0"/>
                <w:color w:val="auto"/>
                <w:sz w:val="24"/>
                <w:szCs w:val="24"/>
                <w:highlight w:val="none"/>
              </w:rPr>
              <w:t>ngày 27/6/2017 quy định về đo lường đối với phép đo khối lượng trong thương mại bán lẻ</w:t>
            </w:r>
          </w:p>
        </w:tc>
        <w:tc>
          <w:tcPr>
            <w:tcW w:w="1417" w:type="dxa"/>
          </w:tcPr>
          <w:p w14:paraId="7563D5F3">
            <w:pPr>
              <w:spacing w:before="120" w:after="120"/>
              <w:jc w:val="both"/>
              <w:rPr>
                <w:color w:val="auto"/>
                <w:sz w:val="24"/>
                <w:szCs w:val="24"/>
              </w:rPr>
            </w:pPr>
            <w:r>
              <w:rPr>
                <w:color w:val="auto"/>
                <w:sz w:val="24"/>
                <w:szCs w:val="24"/>
              </w:rPr>
              <w:t>Tình hình thực tiễn</w:t>
            </w:r>
          </w:p>
          <w:p w14:paraId="5D4C1B47">
            <w:pPr>
              <w:tabs>
                <w:tab w:val="right" w:pos="8640"/>
              </w:tabs>
              <w:jc w:val="both"/>
              <w:rPr>
                <w:color w:val="auto"/>
                <w:sz w:val="24"/>
                <w:szCs w:val="24"/>
              </w:rPr>
            </w:pPr>
          </w:p>
        </w:tc>
        <w:tc>
          <w:tcPr>
            <w:tcW w:w="4051" w:type="dxa"/>
          </w:tcPr>
          <w:p w14:paraId="55E29718">
            <w:pPr>
              <w:tabs>
                <w:tab w:val="left" w:pos="900"/>
                <w:tab w:val="left" w:pos="2520"/>
              </w:tabs>
              <w:spacing w:before="120"/>
              <w:ind w:right="61"/>
              <w:jc w:val="both"/>
              <w:rPr>
                <w:rFonts w:hint="default"/>
                <w:color w:val="auto"/>
                <w:sz w:val="24"/>
                <w:szCs w:val="24"/>
                <w:lang w:val="en-US"/>
              </w:rPr>
            </w:pPr>
            <w:r>
              <w:rPr>
                <w:color w:val="auto"/>
                <w:sz w:val="24"/>
                <w:szCs w:val="24"/>
              </w:rPr>
              <w:t>- Một sô nội dung cần bổ sung, điều chỉnh để phù hợp yêu cầu quản lý phép đo theo quy định của Luật sửa đổi, bổ sung một số điều của Luật Đo lường</w:t>
            </w:r>
            <w:r>
              <w:rPr>
                <w:rFonts w:hint="default"/>
                <w:color w:val="auto"/>
                <w:sz w:val="24"/>
                <w:szCs w:val="24"/>
                <w:lang w:val="en-US"/>
              </w:rPr>
              <w:t>.</w:t>
            </w:r>
          </w:p>
          <w:p w14:paraId="58EAB7C6">
            <w:pPr>
              <w:tabs>
                <w:tab w:val="left" w:pos="900"/>
                <w:tab w:val="left" w:pos="2520"/>
              </w:tabs>
              <w:spacing w:before="120"/>
              <w:ind w:right="61"/>
              <w:jc w:val="both"/>
              <w:rPr>
                <w:b w:val="0"/>
                <w:bCs w:val="0"/>
                <w:color w:val="auto"/>
                <w:sz w:val="24"/>
                <w:szCs w:val="24"/>
              </w:rPr>
            </w:pPr>
            <w:r>
              <w:rPr>
                <w:b w:val="0"/>
                <w:bCs w:val="0"/>
                <w:color w:val="auto"/>
                <w:sz w:val="24"/>
                <w:szCs w:val="24"/>
              </w:rPr>
              <w:t>- Điều chỉnh phạm vi và đối tượng áp dụng; bổ sung yêu cầu bảo đảm độ tin cậy của toàn bộ quá trình đo, bao gồm điều kiện thực hiện phép đo, thao tác trừ bì, hiển thị và lưu giữ kết quả, kiểm soát phần mềm và phòng ngừa can thiệp làm sai lệch kết quả đo.</w:t>
            </w:r>
          </w:p>
          <w:p w14:paraId="0063690D">
            <w:pPr>
              <w:tabs>
                <w:tab w:val="left" w:pos="900"/>
                <w:tab w:val="left" w:pos="2520"/>
              </w:tabs>
              <w:spacing w:before="120"/>
              <w:ind w:right="61"/>
              <w:jc w:val="both"/>
              <w:rPr>
                <w:rFonts w:hint="default"/>
                <w:color w:val="auto"/>
                <w:sz w:val="24"/>
                <w:szCs w:val="24"/>
                <w:lang w:val="en-US"/>
              </w:rPr>
            </w:pPr>
            <w:r>
              <w:rPr>
                <w:b w:val="0"/>
                <w:bCs w:val="0"/>
                <w:color w:val="auto"/>
                <w:sz w:val="24"/>
                <w:szCs w:val="24"/>
              </w:rPr>
              <w:t>- Cập nhật tên gọi, thẩm quyền và trách nhiệm của cơ quan quản lý nhà nước sau sắp xếp tổ chức bộ máy và thực hiện mô hình chính quyền địa phương hai cấp; xác định rõ trách nhiệm của cơ quan chuyên môn, ban quản lý chợ, trung tâm thương mại và người kinh doanh trong trang bị, duy trì phương tiện đối chứng, kiểm tra và xử lý kết quả phép đo không phù hợp</w:t>
            </w:r>
            <w:r>
              <w:rPr>
                <w:rFonts w:hint="default"/>
                <w:b w:val="0"/>
                <w:bCs w:val="0"/>
                <w:color w:val="auto"/>
                <w:sz w:val="24"/>
                <w:szCs w:val="24"/>
                <w:lang w:val="en-US"/>
              </w:rPr>
              <w:t>.</w:t>
            </w:r>
          </w:p>
        </w:tc>
        <w:tc>
          <w:tcPr>
            <w:tcW w:w="1394" w:type="dxa"/>
          </w:tcPr>
          <w:p w14:paraId="07F5B3DE">
            <w:pPr>
              <w:jc w:val="center"/>
              <w:rPr>
                <w:color w:val="auto"/>
                <w:sz w:val="24"/>
                <w:szCs w:val="24"/>
              </w:rPr>
            </w:pPr>
            <w:r>
              <w:rPr>
                <w:color w:val="auto"/>
                <w:sz w:val="24"/>
                <w:szCs w:val="24"/>
              </w:rPr>
              <w:t>Thông tư thay thế</w:t>
            </w:r>
          </w:p>
        </w:tc>
        <w:tc>
          <w:tcPr>
            <w:tcW w:w="1275" w:type="dxa"/>
          </w:tcPr>
          <w:p w14:paraId="1A7A2919">
            <w:pPr>
              <w:jc w:val="center"/>
              <w:rPr>
                <w:color w:val="auto"/>
                <w:sz w:val="24"/>
                <w:szCs w:val="24"/>
              </w:rPr>
            </w:pPr>
            <w:r>
              <w:rPr>
                <w:color w:val="auto"/>
                <w:sz w:val="24"/>
                <w:szCs w:val="24"/>
              </w:rPr>
              <w:t>Tháng 3/2027</w:t>
            </w:r>
          </w:p>
        </w:tc>
        <w:tc>
          <w:tcPr>
            <w:tcW w:w="1245" w:type="dxa"/>
          </w:tcPr>
          <w:p w14:paraId="68E8E521">
            <w:pPr>
              <w:jc w:val="both"/>
              <w:rPr>
                <w:color w:val="auto"/>
                <w:sz w:val="24"/>
                <w:szCs w:val="24"/>
              </w:rPr>
            </w:pPr>
            <w:r>
              <w:rPr>
                <w:color w:val="auto"/>
                <w:sz w:val="24"/>
                <w:szCs w:val="24"/>
              </w:rPr>
              <w:t>Tiêu chí 2</w:t>
            </w:r>
          </w:p>
        </w:tc>
        <w:tc>
          <w:tcPr>
            <w:tcW w:w="1308" w:type="dxa"/>
          </w:tcPr>
          <w:p w14:paraId="0E65C31B">
            <w:pPr>
              <w:jc w:val="center"/>
              <w:rPr>
                <w:color w:val="auto"/>
                <w:sz w:val="24"/>
                <w:szCs w:val="24"/>
              </w:rPr>
            </w:pPr>
          </w:p>
        </w:tc>
        <w:tc>
          <w:tcPr>
            <w:tcW w:w="2410" w:type="dxa"/>
          </w:tcPr>
          <w:p w14:paraId="70E57BF6">
            <w:pPr>
              <w:ind w:firstLine="284"/>
              <w:jc w:val="both"/>
              <w:rPr>
                <w:color w:val="auto"/>
                <w:sz w:val="24"/>
                <w:szCs w:val="24"/>
              </w:rPr>
            </w:pPr>
            <w:r>
              <w:rPr>
                <w:color w:val="auto"/>
                <w:sz w:val="24"/>
                <w:szCs w:val="24"/>
              </w:rPr>
              <w:t>- Cần làm rõ, bổ sung thêm nội dung phân tích cụ thể các quy định cần xử lý.</w:t>
            </w:r>
          </w:p>
          <w:p w14:paraId="2C54D8F2">
            <w:pPr>
              <w:ind w:right="100" w:firstLine="284"/>
              <w:jc w:val="both"/>
              <w:rPr>
                <w:color w:val="auto"/>
                <w:sz w:val="24"/>
                <w:szCs w:val="24"/>
              </w:rPr>
            </w:pPr>
            <w:r>
              <w:rPr>
                <w:color w:val="auto"/>
                <w:sz w:val="24"/>
                <w:szCs w:val="24"/>
              </w:rPr>
              <w:t>- Đề nghị bổ sung đầy đủ tên thông tư.</w:t>
            </w:r>
          </w:p>
        </w:tc>
      </w:tr>
      <w:tr w14:paraId="2D5FC8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04" w:type="dxa"/>
          </w:tcPr>
          <w:p w14:paraId="286398CA">
            <w:pPr>
              <w:numPr>
                <w:ilvl w:val="0"/>
                <w:numId w:val="3"/>
              </w:numPr>
              <w:tabs>
                <w:tab w:val="left" w:pos="425"/>
              </w:tabs>
              <w:jc w:val="center"/>
              <w:rPr>
                <w:color w:val="auto"/>
                <w:sz w:val="24"/>
                <w:szCs w:val="24"/>
              </w:rPr>
            </w:pPr>
          </w:p>
        </w:tc>
        <w:tc>
          <w:tcPr>
            <w:tcW w:w="1843" w:type="dxa"/>
          </w:tcPr>
          <w:p w14:paraId="44A20EAC">
            <w:pPr>
              <w:tabs>
                <w:tab w:val="right" w:pos="8640"/>
              </w:tabs>
              <w:jc w:val="both"/>
              <w:rPr>
                <w:color w:val="auto"/>
                <w:sz w:val="24"/>
                <w:szCs w:val="24"/>
              </w:rPr>
            </w:pPr>
            <w:r>
              <w:rPr>
                <w:color w:val="auto"/>
                <w:sz w:val="24"/>
                <w:szCs w:val="24"/>
              </w:rPr>
              <w:t>Thông tư số 16/2018/TT-BKHCN quy định hoạt động, phối hợp trong Mạng lưới các cơ quan thông báo và hỏi đáp và Ban liên ngành về hàng rào kỹ thuật trong thương mại</w:t>
            </w:r>
          </w:p>
        </w:tc>
        <w:tc>
          <w:tcPr>
            <w:tcW w:w="1417" w:type="dxa"/>
          </w:tcPr>
          <w:p w14:paraId="41CCA926">
            <w:pPr>
              <w:tabs>
                <w:tab w:val="right" w:pos="8640"/>
              </w:tabs>
              <w:jc w:val="both"/>
              <w:rPr>
                <w:rFonts w:hint="default"/>
                <w:color w:val="auto"/>
                <w:sz w:val="24"/>
                <w:szCs w:val="24"/>
                <w:lang w:val="en-US"/>
              </w:rPr>
            </w:pPr>
            <w:r>
              <w:rPr>
                <w:color w:val="auto"/>
                <w:sz w:val="24"/>
                <w:szCs w:val="24"/>
              </w:rPr>
              <w:t>Nghị định số 22/2026/NĐ-CP</w:t>
            </w:r>
            <w:r>
              <w:rPr>
                <w:rFonts w:hint="default"/>
                <w:color w:val="auto"/>
                <w:sz w:val="24"/>
                <w:szCs w:val="24"/>
                <w:lang w:val="en-US"/>
              </w:rPr>
              <w:t xml:space="preserve"> </w:t>
            </w:r>
            <w:r>
              <w:rPr>
                <w:b w:val="0"/>
                <w:bCs w:val="0"/>
                <w:color w:val="auto"/>
                <w:sz w:val="24"/>
                <w:szCs w:val="24"/>
              </w:rPr>
              <w:t>ngày 16/01/2026 của Chính phủ quy định chi tiết một số điều và biện pháp để tổ chức, hướng dẫn thi hành Luật Tiêu chuẩn và quy chuẩn kỹ thuật</w:t>
            </w:r>
          </w:p>
        </w:tc>
        <w:tc>
          <w:tcPr>
            <w:tcW w:w="4051" w:type="dxa"/>
          </w:tcPr>
          <w:p w14:paraId="04622827">
            <w:pPr>
              <w:tabs>
                <w:tab w:val="left" w:pos="900"/>
                <w:tab w:val="left" w:pos="2520"/>
              </w:tabs>
              <w:spacing w:before="120"/>
              <w:ind w:right="61"/>
              <w:jc w:val="both"/>
              <w:rPr>
                <w:color w:val="auto"/>
                <w:sz w:val="24"/>
                <w:szCs w:val="24"/>
              </w:rPr>
            </w:pPr>
            <w:r>
              <w:rPr>
                <w:color w:val="auto"/>
                <w:sz w:val="24"/>
                <w:szCs w:val="24"/>
              </w:rPr>
              <w:t>- Thông tư chưa có điều khoản quy định về kinh phí cho hoạt động TBT. Nghị định số 22/2026/NĐ-CP đã xác định trách nhiệm bảo đảm nguồn lực tài chính cho Điểm TBT quốc gia, cấp Bộ và địa phương; đồng thời quy định nội dung chi ngân sách nhà nước cho hoạt động TBT, bao gồm chi xây dựng, vận hành hạ tầng thông báo - hỏi đáp, chi phân tích quan ngại thương mại cụ thể, chi bảo đảm hoạt động các Điểm TBT. Thông tư số 23/2026/TT-BKHCN là cơ sở xác định cơ chế tài chính tương ứng cho hoạt động TBT.</w:t>
            </w:r>
          </w:p>
          <w:p w14:paraId="4F38323D">
            <w:pPr>
              <w:tabs>
                <w:tab w:val="left" w:pos="900"/>
                <w:tab w:val="left" w:pos="2520"/>
              </w:tabs>
              <w:spacing w:before="120"/>
              <w:ind w:right="61"/>
              <w:jc w:val="both"/>
              <w:rPr>
                <w:color w:val="auto"/>
                <w:sz w:val="24"/>
                <w:szCs w:val="24"/>
              </w:rPr>
            </w:pPr>
            <w:r>
              <w:rPr>
                <w:color w:val="auto"/>
                <w:sz w:val="24"/>
                <w:szCs w:val="24"/>
              </w:rPr>
              <w:t>Điểm TBT Quốc gia chưa cập nhật thông tin thành Ủy ban Tiêu chuẩn Đo lường Chất lượng Quốc gia.</w:t>
            </w:r>
          </w:p>
          <w:p w14:paraId="04152BC2">
            <w:pPr>
              <w:tabs>
                <w:tab w:val="left" w:pos="900"/>
                <w:tab w:val="left" w:pos="2520"/>
              </w:tabs>
              <w:spacing w:before="120"/>
              <w:ind w:right="61"/>
              <w:jc w:val="both"/>
              <w:rPr>
                <w:color w:val="auto"/>
                <w:sz w:val="24"/>
                <w:szCs w:val="24"/>
              </w:rPr>
            </w:pPr>
            <w:r>
              <w:rPr>
                <w:color w:val="auto"/>
                <w:sz w:val="24"/>
                <w:szCs w:val="24"/>
              </w:rPr>
              <w:t>- Các biểu mẫu thông báo chưa cập nhật theo hướng dẫn mới nhất từ Ủy ban WTO/TBT.</w:t>
            </w:r>
          </w:p>
          <w:p w14:paraId="2EA6ECF0">
            <w:pPr>
              <w:tabs>
                <w:tab w:val="left" w:pos="900"/>
                <w:tab w:val="left" w:pos="2520"/>
              </w:tabs>
              <w:spacing w:before="120"/>
              <w:ind w:right="61"/>
              <w:jc w:val="both"/>
              <w:rPr>
                <w:color w:val="auto"/>
                <w:sz w:val="24"/>
                <w:szCs w:val="24"/>
              </w:rPr>
            </w:pPr>
            <w:r>
              <w:rPr>
                <w:color w:val="auto"/>
                <w:sz w:val="24"/>
                <w:szCs w:val="24"/>
              </w:rPr>
              <w:t>- Quy định về số hóa quy trình nghiệp vụ TBT, vận hành Cơ sở dữ liệu TBT quốc gia và kết nối với các hệ thống thông tin liên quan. Nghị định số 22/2026/NĐ-CP yêu cầu xây dựng, vận hành Cơ sở dữ liệu quốc gia về TCĐLCL, kết nối với Cổng thông tin TBT Việt Nam.</w:t>
            </w:r>
          </w:p>
          <w:p w14:paraId="4992C328">
            <w:pPr>
              <w:tabs>
                <w:tab w:val="left" w:pos="900"/>
                <w:tab w:val="left" w:pos="2520"/>
              </w:tabs>
              <w:spacing w:before="120"/>
              <w:ind w:right="61"/>
              <w:jc w:val="both"/>
              <w:rPr>
                <w:b w:val="0"/>
                <w:bCs w:val="0"/>
                <w:color w:val="auto"/>
                <w:sz w:val="24"/>
                <w:szCs w:val="24"/>
              </w:rPr>
            </w:pPr>
            <w:r>
              <w:rPr>
                <w:b w:val="0"/>
                <w:bCs w:val="0"/>
                <w:color w:val="auto"/>
                <w:sz w:val="24"/>
                <w:szCs w:val="24"/>
              </w:rPr>
              <w:t>Các quy trình thông báo, hỏi đáp, xử lý góp ý và quan ngại thương mại cần được hoàn thiện theo hướng quy định rõ thời hạn, trách nhiệm, sản phẩm đầu ra và cơ chế phối hợp; mở rộng phạm vi thực hiện từ Hiệp định TBT/WTO sang các điều ước quốc tế có nội dung TBT mà Việt Nam là thành viên; bổ sung quy trình cảnh báo sớm, tiếp nhận kiến nghị của doanh nghiệp, phân tích tác động và chủ động đề xuất nêu quan ngại thương mại đối với biện pháp TBT của nước ngoài.</w:t>
            </w:r>
          </w:p>
          <w:p w14:paraId="5ABC6415">
            <w:pPr>
              <w:tabs>
                <w:tab w:val="left" w:pos="900"/>
                <w:tab w:val="left" w:pos="2520"/>
              </w:tabs>
              <w:spacing w:before="120"/>
              <w:ind w:right="61"/>
              <w:jc w:val="both"/>
              <w:rPr>
                <w:b w:val="0"/>
                <w:bCs w:val="0"/>
                <w:color w:val="auto"/>
                <w:sz w:val="24"/>
                <w:szCs w:val="24"/>
              </w:rPr>
            </w:pPr>
            <w:r>
              <w:rPr>
                <w:b w:val="0"/>
                <w:bCs w:val="0"/>
                <w:color w:val="auto"/>
                <w:sz w:val="24"/>
                <w:szCs w:val="24"/>
              </w:rPr>
              <w:t>Các phụ lục và biểu mẫu thông báo cần được cập nhật phù hợp với hướng dẫn hiện hành của Ủy ban TBT/WTO, bao gồm thông báo thường kỳ, thông báo bổ sung, đính chính và sửa đổi. Văn bản cần quy định nguyên tắc sử dụng biểu mẫu do WTO công bố và giao Điểm TBT quốc gia cập nhật, hướng dẫn kỹ thuật, tránh phải sửa đổi Thông tư mỗi khi WTO điều chỉnh biểu mẫu.</w:t>
            </w:r>
          </w:p>
          <w:p w14:paraId="78CC3C39">
            <w:pPr>
              <w:tabs>
                <w:tab w:val="left" w:pos="900"/>
                <w:tab w:val="left" w:pos="2520"/>
              </w:tabs>
              <w:spacing w:before="120"/>
              <w:ind w:right="61"/>
              <w:jc w:val="both"/>
              <w:rPr>
                <w:color w:val="auto"/>
                <w:sz w:val="24"/>
                <w:szCs w:val="24"/>
              </w:rPr>
            </w:pPr>
            <w:r>
              <w:rPr>
                <w:b w:val="0"/>
                <w:bCs w:val="0"/>
                <w:color w:val="auto"/>
                <w:sz w:val="24"/>
                <w:szCs w:val="24"/>
              </w:rPr>
              <w:t>Cần bổ sung cơ chế số hóa toàn trình hoạt động TBT; quy định việc xây dựng, quản lý, cập nhật, khai thác và chia sẻ dữ liệu; kết nối Cổng thông tin TBT Việt Nam với Cơ sở dữ liệu quốc gia về tiêu chuẩn, đo lường, chất lượng và các hệ thống thông tin liên quan; xác định trách nhiệm, quyền truy cập, tiêu chuẩn dữ liệu, lưu trữ hồ sơ điện tử và bảo đảm an toàn thông tin.</w:t>
            </w:r>
          </w:p>
        </w:tc>
        <w:tc>
          <w:tcPr>
            <w:tcW w:w="1394" w:type="dxa"/>
          </w:tcPr>
          <w:p w14:paraId="556DBE0A">
            <w:pPr>
              <w:jc w:val="center"/>
              <w:rPr>
                <w:color w:val="auto"/>
                <w:sz w:val="24"/>
                <w:szCs w:val="24"/>
              </w:rPr>
            </w:pPr>
            <w:r>
              <w:rPr>
                <w:color w:val="auto"/>
                <w:sz w:val="24"/>
                <w:szCs w:val="24"/>
              </w:rPr>
              <w:t>Thông tư thay thế</w:t>
            </w:r>
          </w:p>
        </w:tc>
        <w:tc>
          <w:tcPr>
            <w:tcW w:w="1275" w:type="dxa"/>
          </w:tcPr>
          <w:p w14:paraId="3AD55B11">
            <w:pPr>
              <w:jc w:val="center"/>
              <w:rPr>
                <w:color w:val="auto"/>
                <w:sz w:val="24"/>
                <w:szCs w:val="24"/>
              </w:rPr>
            </w:pPr>
            <w:r>
              <w:rPr>
                <w:rFonts w:hint="default"/>
                <w:color w:val="auto"/>
                <w:sz w:val="24"/>
                <w:szCs w:val="24"/>
                <w:lang w:val="en-US"/>
              </w:rPr>
              <w:t>Tháng 12/</w:t>
            </w:r>
            <w:r>
              <w:rPr>
                <w:color w:val="auto"/>
                <w:sz w:val="24"/>
                <w:szCs w:val="24"/>
              </w:rPr>
              <w:t>2027</w:t>
            </w:r>
          </w:p>
        </w:tc>
        <w:tc>
          <w:tcPr>
            <w:tcW w:w="1245" w:type="dxa"/>
          </w:tcPr>
          <w:p w14:paraId="1DF824AB">
            <w:pPr>
              <w:jc w:val="both"/>
              <w:rPr>
                <w:color w:val="auto"/>
                <w:sz w:val="24"/>
                <w:szCs w:val="24"/>
              </w:rPr>
            </w:pPr>
            <w:r>
              <w:rPr>
                <w:color w:val="auto"/>
                <w:sz w:val="24"/>
                <w:szCs w:val="24"/>
              </w:rPr>
              <w:t>Tiêu chí 2</w:t>
            </w:r>
          </w:p>
        </w:tc>
        <w:tc>
          <w:tcPr>
            <w:tcW w:w="1308" w:type="dxa"/>
          </w:tcPr>
          <w:p w14:paraId="2044B803">
            <w:pPr>
              <w:jc w:val="center"/>
              <w:rPr>
                <w:color w:val="auto"/>
                <w:sz w:val="24"/>
                <w:szCs w:val="24"/>
              </w:rPr>
            </w:pPr>
          </w:p>
        </w:tc>
        <w:tc>
          <w:tcPr>
            <w:tcW w:w="2410" w:type="dxa"/>
          </w:tcPr>
          <w:p w14:paraId="58BEB81C">
            <w:pPr>
              <w:ind w:firstLine="284"/>
              <w:jc w:val="both"/>
              <w:rPr>
                <w:color w:val="auto"/>
                <w:sz w:val="24"/>
                <w:szCs w:val="24"/>
              </w:rPr>
            </w:pPr>
            <w:r>
              <w:rPr>
                <w:color w:val="auto"/>
                <w:sz w:val="24"/>
                <w:szCs w:val="24"/>
              </w:rPr>
              <w:t>- Cần làm rõ, bổ sung thêm nội dung cần xử lý; phân tích nội dung tại cột 4 chưa đáp ứng Tiêu chí 2, đề nghị xem xét xác định lại tiêu chí rà soát, cân nhắc theo Tiêu chí 5, 6.</w:t>
            </w:r>
          </w:p>
          <w:p w14:paraId="108CF624">
            <w:pPr>
              <w:ind w:firstLine="284"/>
              <w:jc w:val="both"/>
              <w:rPr>
                <w:color w:val="auto"/>
                <w:sz w:val="24"/>
                <w:szCs w:val="24"/>
              </w:rPr>
            </w:pPr>
            <w:r>
              <w:rPr>
                <w:color w:val="auto"/>
                <w:sz w:val="24"/>
                <w:szCs w:val="24"/>
              </w:rPr>
              <w:t>- Chỉnh lý tên văn bản là căn cứ rà soát cho đầy đủ.</w:t>
            </w:r>
          </w:p>
        </w:tc>
      </w:tr>
      <w:tr w14:paraId="25C736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04" w:type="dxa"/>
          </w:tcPr>
          <w:p w14:paraId="2B61E3FF">
            <w:pPr>
              <w:numPr>
                <w:ilvl w:val="0"/>
                <w:numId w:val="3"/>
              </w:numPr>
              <w:tabs>
                <w:tab w:val="left" w:pos="425"/>
              </w:tabs>
              <w:jc w:val="center"/>
              <w:rPr>
                <w:color w:val="auto"/>
                <w:sz w:val="24"/>
                <w:szCs w:val="24"/>
              </w:rPr>
            </w:pPr>
          </w:p>
        </w:tc>
        <w:tc>
          <w:tcPr>
            <w:tcW w:w="1843" w:type="dxa"/>
          </w:tcPr>
          <w:p w14:paraId="5B0E0FB4">
            <w:pPr>
              <w:tabs>
                <w:tab w:val="right" w:pos="8640"/>
              </w:tabs>
              <w:jc w:val="both"/>
              <w:rPr>
                <w:color w:val="auto"/>
                <w:sz w:val="24"/>
                <w:szCs w:val="24"/>
              </w:rPr>
            </w:pPr>
            <w:r>
              <w:rPr>
                <w:color w:val="auto"/>
                <w:sz w:val="24"/>
                <w:szCs w:val="24"/>
              </w:rPr>
              <w:t>Thông tư số 07/2019/TT-BKHCN ngày 26/7/2019 của Bộ trưởng Bộ Khoa học và Công nghệ  quy định sửa đổi, bổ sung một số điều của Thông tư số 23/2013/TT-BKHCN ngày 26/9/2013 quy định về đo lường đối với phương tiện đo nhóm 2</w:t>
            </w:r>
          </w:p>
        </w:tc>
        <w:tc>
          <w:tcPr>
            <w:tcW w:w="1417" w:type="dxa"/>
          </w:tcPr>
          <w:p w14:paraId="2167C6B3">
            <w:pPr>
              <w:tabs>
                <w:tab w:val="right" w:pos="8640"/>
              </w:tabs>
              <w:jc w:val="both"/>
              <w:rPr>
                <w:color w:val="auto"/>
                <w:sz w:val="24"/>
                <w:szCs w:val="24"/>
              </w:rPr>
            </w:pPr>
            <w:r>
              <w:rPr>
                <w:color w:val="auto"/>
                <w:sz w:val="24"/>
                <w:szCs w:val="24"/>
              </w:rPr>
              <w:t>Tình hình thực tiễn</w:t>
            </w:r>
          </w:p>
        </w:tc>
        <w:tc>
          <w:tcPr>
            <w:tcW w:w="4051" w:type="dxa"/>
          </w:tcPr>
          <w:p w14:paraId="46FD7F36">
            <w:pPr>
              <w:jc w:val="both"/>
              <w:rPr>
                <w:color w:val="auto"/>
                <w:sz w:val="24"/>
                <w:szCs w:val="24"/>
              </w:rPr>
            </w:pPr>
            <w:r>
              <w:rPr>
                <w:color w:val="auto"/>
                <w:sz w:val="24"/>
                <w:szCs w:val="24"/>
              </w:rPr>
              <w:t>- Tại Điều 4:</w:t>
            </w:r>
          </w:p>
          <w:p w14:paraId="033B4E65">
            <w:pPr>
              <w:jc w:val="both"/>
              <w:rPr>
                <w:color w:val="auto"/>
                <w:sz w:val="24"/>
                <w:szCs w:val="24"/>
              </w:rPr>
            </w:pPr>
            <w:r>
              <w:rPr>
                <w:color w:val="auto"/>
                <w:sz w:val="24"/>
                <w:szCs w:val="24"/>
              </w:rPr>
              <w:t>(1) Sửa đổi chu kỳ kiểm định là 12 tháng. Công tơ Điện: Theo chu kỳ kiểm định của công tơ điện 1 pha cảm ứng là 60 tháng, công tơ xoay chiều 1 pha kiểu điện từ là 48 tháng, công tơ xoay chiều 1 pha kiểu điện tử là 72 tháng, công tơ xoay chiều 3 pha kiểu điện tử là 36 tháng. Qua quá trình áp dụng văn bản vào thực tế thấy thời hạn kiểm định của công tơ 3 pha kiểu cảm ứng và công tơ 1 pha kiểu điện tử là quá dài dẫn đến không đảm bảo về sai số đo lường;</w:t>
            </w:r>
          </w:p>
          <w:p w14:paraId="108FBFEF">
            <w:pPr>
              <w:jc w:val="both"/>
              <w:rPr>
                <w:color w:val="auto"/>
                <w:sz w:val="24"/>
                <w:szCs w:val="24"/>
              </w:rPr>
            </w:pPr>
            <w:r>
              <w:rPr>
                <w:color w:val="auto"/>
                <w:sz w:val="24"/>
                <w:szCs w:val="24"/>
              </w:rPr>
              <w:t>(2) Sửa đổi chu kỳ kiểm định của công tơ 3 pha kiểu cảm ứng là 30 tháng, chu kỷ kiểm định của công tơ 1 pha kiểu điện tử là 60 tháng</w:t>
            </w:r>
          </w:p>
          <w:p w14:paraId="373E7C17">
            <w:pPr>
              <w:tabs>
                <w:tab w:val="left" w:pos="900"/>
                <w:tab w:val="left" w:pos="2520"/>
              </w:tabs>
              <w:spacing w:before="120"/>
              <w:ind w:right="-47"/>
              <w:jc w:val="both"/>
              <w:rPr>
                <w:color w:val="auto"/>
                <w:sz w:val="24"/>
                <w:szCs w:val="24"/>
              </w:rPr>
            </w:pPr>
            <w:r>
              <w:rPr>
                <w:color w:val="auto"/>
                <w:sz w:val="24"/>
                <w:szCs w:val="24"/>
              </w:rPr>
              <w:t>- Bổ sung quy định về kiểm định các phương tiện: Phương tiện đo khoảng cách, Phương tiện đo độ sâu đáy nước, Phương tiện đo độ sâu công trình ngầm, Phương tiện đo kinh vĩ.</w:t>
            </w:r>
          </w:p>
        </w:tc>
        <w:tc>
          <w:tcPr>
            <w:tcW w:w="1394" w:type="dxa"/>
          </w:tcPr>
          <w:p w14:paraId="6DAC3C4B">
            <w:pPr>
              <w:jc w:val="center"/>
              <w:rPr>
                <w:color w:val="auto"/>
                <w:sz w:val="24"/>
                <w:szCs w:val="24"/>
              </w:rPr>
            </w:pPr>
            <w:r>
              <w:rPr>
                <w:color w:val="auto"/>
                <w:sz w:val="24"/>
                <w:szCs w:val="24"/>
              </w:rPr>
              <w:t>Thông tư thay thế</w:t>
            </w:r>
          </w:p>
        </w:tc>
        <w:tc>
          <w:tcPr>
            <w:tcW w:w="1275" w:type="dxa"/>
          </w:tcPr>
          <w:p w14:paraId="213DF153">
            <w:pPr>
              <w:jc w:val="center"/>
              <w:rPr>
                <w:rFonts w:hint="default"/>
                <w:color w:val="auto"/>
                <w:sz w:val="24"/>
                <w:szCs w:val="24"/>
                <w:lang w:val="en-US"/>
              </w:rPr>
            </w:pPr>
            <w:r>
              <w:rPr>
                <w:rFonts w:hint="default"/>
                <w:color w:val="auto"/>
                <w:sz w:val="24"/>
                <w:szCs w:val="24"/>
                <w:lang w:val="en-US"/>
              </w:rPr>
              <w:t xml:space="preserve">Tháng </w:t>
            </w:r>
          </w:p>
          <w:p w14:paraId="17C30E40">
            <w:pPr>
              <w:jc w:val="center"/>
              <w:rPr>
                <w:rFonts w:hint="default"/>
                <w:color w:val="auto"/>
                <w:sz w:val="24"/>
                <w:szCs w:val="24"/>
                <w:lang w:val="en-US"/>
              </w:rPr>
            </w:pPr>
            <w:r>
              <w:rPr>
                <w:rFonts w:hint="default"/>
                <w:color w:val="auto"/>
                <w:sz w:val="24"/>
                <w:szCs w:val="24"/>
                <w:lang w:val="en-US"/>
              </w:rPr>
              <w:t>3/2027</w:t>
            </w:r>
          </w:p>
        </w:tc>
        <w:tc>
          <w:tcPr>
            <w:tcW w:w="1245" w:type="dxa"/>
          </w:tcPr>
          <w:p w14:paraId="529DA81B">
            <w:pPr>
              <w:jc w:val="center"/>
              <w:rPr>
                <w:color w:val="auto"/>
                <w:sz w:val="24"/>
                <w:szCs w:val="24"/>
              </w:rPr>
            </w:pPr>
            <w:r>
              <w:rPr>
                <w:color w:val="auto"/>
                <w:sz w:val="24"/>
                <w:szCs w:val="24"/>
              </w:rPr>
              <w:t>Tiêu chí  5</w:t>
            </w:r>
          </w:p>
        </w:tc>
        <w:tc>
          <w:tcPr>
            <w:tcW w:w="1308" w:type="dxa"/>
          </w:tcPr>
          <w:p w14:paraId="2C715B39">
            <w:pPr>
              <w:jc w:val="center"/>
              <w:rPr>
                <w:color w:val="auto"/>
                <w:sz w:val="24"/>
                <w:szCs w:val="24"/>
              </w:rPr>
            </w:pPr>
          </w:p>
        </w:tc>
        <w:tc>
          <w:tcPr>
            <w:tcW w:w="2410" w:type="dxa"/>
          </w:tcPr>
          <w:p w14:paraId="5C379CF6">
            <w:pPr>
              <w:ind w:firstLine="284"/>
              <w:jc w:val="both"/>
              <w:rPr>
                <w:color w:val="auto"/>
                <w:sz w:val="24"/>
                <w:szCs w:val="24"/>
              </w:rPr>
            </w:pPr>
            <w:r>
              <w:rPr>
                <w:color w:val="auto"/>
                <w:sz w:val="24"/>
                <w:szCs w:val="24"/>
              </w:rPr>
              <w:t>Cần bổ sung, làm rõ thêm lộ trình xử lý văn bản.</w:t>
            </w:r>
          </w:p>
        </w:tc>
      </w:tr>
      <w:tr w14:paraId="0DD2DB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04" w:type="dxa"/>
          </w:tcPr>
          <w:p w14:paraId="083548BF">
            <w:pPr>
              <w:numPr>
                <w:ilvl w:val="0"/>
                <w:numId w:val="3"/>
              </w:numPr>
              <w:tabs>
                <w:tab w:val="left" w:pos="425"/>
              </w:tabs>
              <w:jc w:val="center"/>
              <w:rPr>
                <w:color w:val="auto"/>
                <w:sz w:val="24"/>
                <w:szCs w:val="24"/>
              </w:rPr>
            </w:pPr>
          </w:p>
        </w:tc>
        <w:tc>
          <w:tcPr>
            <w:tcW w:w="1843" w:type="dxa"/>
          </w:tcPr>
          <w:p w14:paraId="0F9C2C6B">
            <w:pPr>
              <w:tabs>
                <w:tab w:val="right" w:pos="8640"/>
              </w:tabs>
              <w:jc w:val="both"/>
              <w:rPr>
                <w:rFonts w:hint="default"/>
                <w:color w:val="auto"/>
                <w:sz w:val="24"/>
                <w:szCs w:val="24"/>
                <w:lang w:val="en-US"/>
              </w:rPr>
            </w:pPr>
            <w:r>
              <w:rPr>
                <w:color w:val="auto"/>
                <w:sz w:val="24"/>
                <w:szCs w:val="24"/>
              </w:rPr>
              <w:t>Thông tư số 24/2023/TT-BKHCN ngày 29/12/2023 của Bộ trưởng Bộ Khoa học và Công nghệ</w:t>
            </w:r>
            <w:r>
              <w:rPr>
                <w:rFonts w:hint="default"/>
                <w:color w:val="auto"/>
                <w:sz w:val="24"/>
                <w:szCs w:val="24"/>
                <w:lang w:val="en-US"/>
              </w:rPr>
              <w:t xml:space="preserve"> </w:t>
            </w:r>
            <w:r>
              <w:rPr>
                <w:b w:val="0"/>
                <w:bCs w:val="0"/>
                <w:color w:val="auto"/>
                <w:sz w:val="24"/>
                <w:szCs w:val="24"/>
              </w:rPr>
              <w:t>quy định việc kiểm tra nhà nước về chất lượng sản phẩm, hàng hóa trong sản xuất thuộc trách nhiệm quản lý của Bộ Khoa học và Công nghệ</w:t>
            </w:r>
          </w:p>
        </w:tc>
        <w:tc>
          <w:tcPr>
            <w:tcW w:w="1417" w:type="dxa"/>
          </w:tcPr>
          <w:p w14:paraId="63F7CDB1">
            <w:pPr>
              <w:tabs>
                <w:tab w:val="right" w:pos="8640"/>
              </w:tabs>
              <w:jc w:val="both"/>
              <w:rPr>
                <w:color w:val="auto"/>
                <w:sz w:val="24"/>
                <w:szCs w:val="24"/>
              </w:rPr>
            </w:pPr>
            <w:r>
              <w:rPr>
                <w:color w:val="auto"/>
                <w:sz w:val="24"/>
                <w:szCs w:val="24"/>
              </w:rPr>
              <w:t>Tình hình thực tiễn</w:t>
            </w:r>
          </w:p>
        </w:tc>
        <w:tc>
          <w:tcPr>
            <w:tcW w:w="4051" w:type="dxa"/>
          </w:tcPr>
          <w:p w14:paraId="5CCBE1A1">
            <w:pPr>
              <w:jc w:val="both"/>
              <w:rPr>
                <w:color w:val="auto"/>
                <w:sz w:val="24"/>
                <w:szCs w:val="24"/>
              </w:rPr>
            </w:pPr>
            <w:r>
              <w:rPr>
                <w:color w:val="auto"/>
                <w:sz w:val="24"/>
                <w:szCs w:val="24"/>
              </w:rPr>
              <w:t>Điểm đ khoản 4 Điều 6 quy định trách nhiệm quản lý của Bộ tối đa 05 ngày gửi mẫu, trong khi lĩnh vực Khoa học và Công nghệ (trừ hàng hóa là xăng, nhiên liệu điezen và nhiên liệu sinh học; khí dầu mỏ hóa lỏng; hàng hóa có tính chất bị ảnh hưởng theo thời gian) không bị ảnh hưởng chất lượng do thời gian và còn trong thời hạn sử dụng nên việc quy định thời gian tối đa 05 ngày làm việc phải gửi mẫu đến tổ chức thử nghiệm sẽ gây khó khăn và tốn chi phí cho công tác kiểm tra vì phải mang mẫu đi thử nghiệm nhiều lần trong 01 đợt kiểm tra.</w:t>
            </w:r>
          </w:p>
        </w:tc>
        <w:tc>
          <w:tcPr>
            <w:tcW w:w="1394" w:type="dxa"/>
          </w:tcPr>
          <w:p w14:paraId="308768B5">
            <w:pPr>
              <w:jc w:val="center"/>
              <w:rPr>
                <w:color w:val="auto"/>
                <w:sz w:val="24"/>
                <w:szCs w:val="24"/>
              </w:rPr>
            </w:pPr>
            <w:r>
              <w:rPr>
                <w:color w:val="auto"/>
                <w:sz w:val="24"/>
                <w:szCs w:val="24"/>
              </w:rPr>
              <w:t>Thông tư sửa đổi, bổ sung</w:t>
            </w:r>
          </w:p>
        </w:tc>
        <w:tc>
          <w:tcPr>
            <w:tcW w:w="1275" w:type="dxa"/>
          </w:tcPr>
          <w:p w14:paraId="4A03D960">
            <w:pPr>
              <w:jc w:val="center"/>
              <w:rPr>
                <w:color w:val="auto"/>
                <w:sz w:val="24"/>
                <w:szCs w:val="24"/>
              </w:rPr>
            </w:pPr>
            <w:r>
              <w:rPr>
                <w:rFonts w:hint="default"/>
                <w:color w:val="auto"/>
                <w:sz w:val="24"/>
                <w:szCs w:val="24"/>
                <w:lang w:val="en-US"/>
              </w:rPr>
              <w:t>Tháng 12/</w:t>
            </w:r>
            <w:r>
              <w:rPr>
                <w:color w:val="auto"/>
                <w:sz w:val="24"/>
                <w:szCs w:val="24"/>
              </w:rPr>
              <w:t>2026</w:t>
            </w:r>
          </w:p>
        </w:tc>
        <w:tc>
          <w:tcPr>
            <w:tcW w:w="1245" w:type="dxa"/>
          </w:tcPr>
          <w:p w14:paraId="04B005B2">
            <w:pPr>
              <w:jc w:val="center"/>
              <w:rPr>
                <w:color w:val="auto"/>
                <w:sz w:val="24"/>
                <w:szCs w:val="24"/>
              </w:rPr>
            </w:pPr>
            <w:r>
              <w:rPr>
                <w:color w:val="auto"/>
                <w:sz w:val="24"/>
                <w:szCs w:val="24"/>
              </w:rPr>
              <w:t>Tiêu chí  5</w:t>
            </w:r>
          </w:p>
        </w:tc>
        <w:tc>
          <w:tcPr>
            <w:tcW w:w="1308" w:type="dxa"/>
          </w:tcPr>
          <w:p w14:paraId="0555D9FA">
            <w:pPr>
              <w:jc w:val="center"/>
              <w:rPr>
                <w:color w:val="auto"/>
                <w:sz w:val="24"/>
                <w:szCs w:val="24"/>
              </w:rPr>
            </w:pPr>
          </w:p>
        </w:tc>
        <w:tc>
          <w:tcPr>
            <w:tcW w:w="2410" w:type="dxa"/>
          </w:tcPr>
          <w:p w14:paraId="58CE2E16">
            <w:pPr>
              <w:ind w:firstLine="284"/>
              <w:jc w:val="both"/>
              <w:rPr>
                <w:color w:val="auto"/>
                <w:sz w:val="24"/>
                <w:szCs w:val="24"/>
              </w:rPr>
            </w:pPr>
            <w:r>
              <w:rPr>
                <w:color w:val="auto"/>
                <w:sz w:val="24"/>
                <w:szCs w:val="24"/>
              </w:rPr>
              <w:t>- Cần bổ sung, làm rõ để xác định chính xác Tiêu chí rà soát, đề nghị cân nhắc chuyển sang Tiêu chí 4.</w:t>
            </w:r>
          </w:p>
          <w:p w14:paraId="0EF342DB">
            <w:pPr>
              <w:ind w:firstLine="284"/>
              <w:jc w:val="both"/>
              <w:rPr>
                <w:color w:val="auto"/>
                <w:sz w:val="24"/>
                <w:szCs w:val="24"/>
              </w:rPr>
            </w:pPr>
            <w:r>
              <w:rPr>
                <w:color w:val="auto"/>
                <w:sz w:val="24"/>
                <w:szCs w:val="24"/>
              </w:rPr>
              <w:t xml:space="preserve">- Đề nghị bổ sung tên đầy đủ của thông tư. </w:t>
            </w:r>
          </w:p>
        </w:tc>
      </w:tr>
      <w:tr w14:paraId="20651F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04" w:type="dxa"/>
          </w:tcPr>
          <w:p w14:paraId="16FA5231">
            <w:pPr>
              <w:numPr>
                <w:ilvl w:val="0"/>
                <w:numId w:val="3"/>
              </w:numPr>
              <w:tabs>
                <w:tab w:val="left" w:pos="425"/>
              </w:tabs>
              <w:jc w:val="center"/>
              <w:rPr>
                <w:color w:val="auto"/>
                <w:sz w:val="24"/>
                <w:szCs w:val="24"/>
              </w:rPr>
            </w:pPr>
          </w:p>
        </w:tc>
        <w:tc>
          <w:tcPr>
            <w:tcW w:w="1843" w:type="dxa"/>
            <w:vAlign w:val="top"/>
          </w:tcPr>
          <w:p w14:paraId="655AB998">
            <w:pPr>
              <w:jc w:val="both"/>
              <w:rPr>
                <w:color w:val="auto"/>
                <w:sz w:val="24"/>
                <w:szCs w:val="24"/>
              </w:rPr>
            </w:pPr>
            <w:r>
              <w:rPr>
                <w:color w:val="auto"/>
                <w:sz w:val="24"/>
                <w:szCs w:val="24"/>
              </w:rPr>
              <w:t xml:space="preserve">Thông tư số 54/2025/TT-BKHCN ngày 31/12/2025 quy định về hoạt động kiểm định, hiệu chuẩn, thử nghiệm phương tiện đo, chuẩn đo lường </w:t>
            </w:r>
          </w:p>
        </w:tc>
        <w:tc>
          <w:tcPr>
            <w:tcW w:w="1417" w:type="dxa"/>
            <w:vAlign w:val="top"/>
          </w:tcPr>
          <w:p w14:paraId="6B979C8B">
            <w:pPr>
              <w:jc w:val="both"/>
              <w:rPr>
                <w:color w:val="auto"/>
                <w:sz w:val="24"/>
                <w:szCs w:val="24"/>
              </w:rPr>
            </w:pPr>
            <w:r>
              <w:rPr>
                <w:color w:val="auto"/>
                <w:sz w:val="24"/>
                <w:szCs w:val="24"/>
              </w:rPr>
              <w:t>Tình hình thực tiễn</w:t>
            </w:r>
          </w:p>
          <w:p w14:paraId="080F8885">
            <w:pPr>
              <w:jc w:val="both"/>
              <w:rPr>
                <w:color w:val="auto"/>
                <w:sz w:val="24"/>
                <w:szCs w:val="24"/>
              </w:rPr>
            </w:pPr>
          </w:p>
        </w:tc>
        <w:tc>
          <w:tcPr>
            <w:tcW w:w="4051" w:type="dxa"/>
            <w:vAlign w:val="top"/>
          </w:tcPr>
          <w:p w14:paraId="52F22421">
            <w:pPr>
              <w:jc w:val="both"/>
              <w:rPr>
                <w:color w:val="auto"/>
                <w:sz w:val="24"/>
                <w:szCs w:val="24"/>
              </w:rPr>
            </w:pPr>
            <w:r>
              <w:rPr>
                <w:color w:val="auto"/>
                <w:sz w:val="24"/>
                <w:szCs w:val="24"/>
              </w:rPr>
              <w:t>- Một sô nội dung cần bổ sung, điều chỉnh để phù hợp với quy định của Luật sửa đổi, bổ sung một số điều của Luật Đo lường</w:t>
            </w:r>
          </w:p>
          <w:p w14:paraId="04B1992F">
            <w:pPr>
              <w:jc w:val="both"/>
              <w:rPr>
                <w:color w:val="auto"/>
                <w:sz w:val="24"/>
                <w:szCs w:val="24"/>
              </w:rPr>
            </w:pPr>
            <w:r>
              <w:rPr>
                <w:color w:val="auto"/>
                <w:sz w:val="24"/>
                <w:szCs w:val="24"/>
              </w:rPr>
              <w:t>- Hoàn thiện trình tự chỉ định, điều chỉnh, chỉ định lại, đình chỉ và thu hồi; áp dụng cơ chế giám sát duy trì năng lực, hậu kiểm dựa trên rủi ro; sử dụng kết quả công nhận để tránh đánh giá trùng lặp; quy định rõ tính độc lập, khách quan và trách nhiệm giải trình của tổ chức, kiểm định viên và nhân viên kỹ thuật.</w:t>
            </w:r>
          </w:p>
          <w:p w14:paraId="47B6BA4B">
            <w:pPr>
              <w:jc w:val="both"/>
              <w:rPr>
                <w:color w:val="auto"/>
                <w:sz w:val="24"/>
                <w:szCs w:val="24"/>
              </w:rPr>
            </w:pPr>
            <w:r>
              <w:rPr>
                <w:color w:val="auto"/>
                <w:sz w:val="24"/>
                <w:szCs w:val="24"/>
              </w:rPr>
              <w:t>- Bổ sung cơ chế thừa nhận kết quả kiểm định, hiệu chuẩn, thử nghiệm trong nước và nước ngoài; số hóa toàn trình hồ sơ, kết quả và chế độ báo cáo; quy định việc cập nhật, kết nối, chia sẻ, bảo mật và khai thác dữ liệu trên cơ sở dữ liệu đo lường quốc gia, bảo đảm đồng bộ với chính sách của Luật Đo lường sửa đổi sau khi được ban hành.</w:t>
            </w:r>
          </w:p>
        </w:tc>
        <w:tc>
          <w:tcPr>
            <w:tcW w:w="1394" w:type="dxa"/>
          </w:tcPr>
          <w:p w14:paraId="21C962E3">
            <w:pPr>
              <w:jc w:val="center"/>
              <w:rPr>
                <w:color w:val="auto"/>
                <w:sz w:val="24"/>
                <w:szCs w:val="24"/>
              </w:rPr>
            </w:pPr>
            <w:r>
              <w:rPr>
                <w:color w:val="auto"/>
                <w:sz w:val="24"/>
                <w:szCs w:val="24"/>
              </w:rPr>
              <w:t>Thông tư thay thế</w:t>
            </w:r>
          </w:p>
        </w:tc>
        <w:tc>
          <w:tcPr>
            <w:tcW w:w="1275" w:type="dxa"/>
          </w:tcPr>
          <w:p w14:paraId="38EE8F45">
            <w:pPr>
              <w:jc w:val="center"/>
              <w:rPr>
                <w:color w:val="auto"/>
                <w:sz w:val="24"/>
                <w:szCs w:val="24"/>
              </w:rPr>
            </w:pPr>
            <w:r>
              <w:rPr>
                <w:color w:val="auto"/>
                <w:sz w:val="24"/>
                <w:szCs w:val="24"/>
              </w:rPr>
              <w:t>Tháng 3/2027</w:t>
            </w:r>
          </w:p>
        </w:tc>
        <w:tc>
          <w:tcPr>
            <w:tcW w:w="1245" w:type="dxa"/>
          </w:tcPr>
          <w:p w14:paraId="0F9C75FB">
            <w:pPr>
              <w:jc w:val="center"/>
              <w:rPr>
                <w:color w:val="auto"/>
                <w:sz w:val="24"/>
                <w:szCs w:val="24"/>
              </w:rPr>
            </w:pPr>
            <w:r>
              <w:rPr>
                <w:color w:val="auto"/>
                <w:sz w:val="24"/>
                <w:szCs w:val="24"/>
              </w:rPr>
              <w:t>Tiêu chí 2</w:t>
            </w:r>
          </w:p>
        </w:tc>
        <w:tc>
          <w:tcPr>
            <w:tcW w:w="1308" w:type="dxa"/>
          </w:tcPr>
          <w:p w14:paraId="6A117622">
            <w:pPr>
              <w:jc w:val="center"/>
              <w:rPr>
                <w:color w:val="auto"/>
                <w:sz w:val="24"/>
                <w:szCs w:val="24"/>
              </w:rPr>
            </w:pPr>
          </w:p>
        </w:tc>
        <w:tc>
          <w:tcPr>
            <w:tcW w:w="2410" w:type="dxa"/>
          </w:tcPr>
          <w:p w14:paraId="70038295">
            <w:pPr>
              <w:ind w:firstLine="284"/>
              <w:jc w:val="both"/>
              <w:rPr>
                <w:color w:val="auto"/>
                <w:sz w:val="24"/>
                <w:szCs w:val="24"/>
              </w:rPr>
            </w:pPr>
            <w:r>
              <w:rPr>
                <w:color w:val="auto"/>
                <w:sz w:val="24"/>
                <w:szCs w:val="24"/>
              </w:rPr>
              <w:t>- Cần làm rõ, hoàn thiện thêm nội dung  phân tích cụ thể nội dung, quy định cần xử lý.</w:t>
            </w:r>
          </w:p>
          <w:p w14:paraId="17053594">
            <w:pPr>
              <w:ind w:firstLine="284"/>
              <w:jc w:val="both"/>
              <w:rPr>
                <w:color w:val="auto"/>
                <w:sz w:val="24"/>
                <w:szCs w:val="24"/>
              </w:rPr>
            </w:pPr>
            <w:r>
              <w:rPr>
                <w:color w:val="auto"/>
                <w:sz w:val="24"/>
                <w:szCs w:val="24"/>
              </w:rPr>
              <w:t>- Đề nghị bổ sung tên đầy đủ của thông tư.</w:t>
            </w:r>
          </w:p>
        </w:tc>
      </w:tr>
      <w:tr w14:paraId="0556FD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72" w:hRule="atLeast"/>
          <w:jc w:val="center"/>
        </w:trPr>
        <w:tc>
          <w:tcPr>
            <w:tcW w:w="13237" w:type="dxa"/>
            <w:gridSpan w:val="8"/>
          </w:tcPr>
          <w:p w14:paraId="3BA54361">
            <w:pPr>
              <w:pStyle w:val="3"/>
              <w:ind w:firstLine="284"/>
              <w:rPr>
                <w:color w:val="auto"/>
                <w:sz w:val="24"/>
                <w:szCs w:val="24"/>
              </w:rPr>
            </w:pPr>
            <w:r>
              <w:rPr>
                <w:color w:val="auto"/>
                <w:sz w:val="24"/>
                <w:szCs w:val="24"/>
              </w:rPr>
              <w:t>IV. LĨNH VỰC TẦN SỐ VÔ TUYẾN ĐIỆN</w:t>
            </w:r>
          </w:p>
          <w:p w14:paraId="625B0FC7">
            <w:pPr>
              <w:rPr>
                <w:color w:val="auto"/>
              </w:rPr>
            </w:pPr>
            <w:r>
              <w:rPr>
                <w:color w:val="auto"/>
                <w:sz w:val="24"/>
                <w:szCs w:val="24"/>
                <w:lang w:val="en-US"/>
              </w:rPr>
              <w:t>Chuyển Cục Tần số vô tuyến điện nghiên cứu ý kiến của Bộ Tư pháp</w:t>
            </w:r>
          </w:p>
        </w:tc>
        <w:tc>
          <w:tcPr>
            <w:tcW w:w="2410" w:type="dxa"/>
          </w:tcPr>
          <w:p w14:paraId="4C5B483E">
            <w:pPr>
              <w:pStyle w:val="3"/>
              <w:ind w:firstLine="284"/>
              <w:jc w:val="both"/>
              <w:rPr>
                <w:color w:val="auto"/>
                <w:sz w:val="24"/>
                <w:szCs w:val="24"/>
              </w:rPr>
            </w:pPr>
          </w:p>
        </w:tc>
      </w:tr>
      <w:tr w14:paraId="0D0682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796" w:hRule="atLeast"/>
          <w:jc w:val="center"/>
        </w:trPr>
        <w:tc>
          <w:tcPr>
            <w:tcW w:w="704" w:type="dxa"/>
          </w:tcPr>
          <w:p w14:paraId="5CE4CA48">
            <w:pPr>
              <w:numPr>
                <w:ilvl w:val="0"/>
                <w:numId w:val="4"/>
              </w:numPr>
              <w:tabs>
                <w:tab w:val="left" w:pos="425"/>
              </w:tabs>
              <w:jc w:val="center"/>
              <w:rPr>
                <w:color w:val="auto"/>
                <w:sz w:val="24"/>
                <w:szCs w:val="24"/>
              </w:rPr>
            </w:pPr>
          </w:p>
        </w:tc>
        <w:tc>
          <w:tcPr>
            <w:tcW w:w="1843" w:type="dxa"/>
          </w:tcPr>
          <w:p w14:paraId="1275CF12">
            <w:pPr>
              <w:jc w:val="center"/>
              <w:rPr>
                <w:color w:val="auto"/>
                <w:sz w:val="24"/>
                <w:szCs w:val="24"/>
              </w:rPr>
            </w:pPr>
            <w:r>
              <w:rPr>
                <w:color w:val="auto"/>
                <w:sz w:val="24"/>
                <w:szCs w:val="24"/>
              </w:rPr>
              <w:t xml:space="preserve">Luật Tần số vô tuyến điện </w:t>
            </w:r>
          </w:p>
        </w:tc>
        <w:tc>
          <w:tcPr>
            <w:tcW w:w="1417" w:type="dxa"/>
          </w:tcPr>
          <w:p w14:paraId="5EDCDA6B">
            <w:pPr>
              <w:tabs>
                <w:tab w:val="right" w:pos="8640"/>
              </w:tabs>
              <w:ind w:right="149"/>
              <w:jc w:val="both"/>
              <w:rPr>
                <w:color w:val="auto"/>
                <w:sz w:val="24"/>
                <w:szCs w:val="24"/>
              </w:rPr>
            </w:pPr>
            <w:r>
              <w:rPr>
                <w:color w:val="auto"/>
                <w:sz w:val="24"/>
                <w:szCs w:val="24"/>
              </w:rPr>
              <w:t>Cải cách TTHC</w:t>
            </w:r>
          </w:p>
        </w:tc>
        <w:tc>
          <w:tcPr>
            <w:tcW w:w="4051" w:type="dxa"/>
          </w:tcPr>
          <w:p w14:paraId="542F014E">
            <w:pPr>
              <w:tabs>
                <w:tab w:val="left" w:pos="3826"/>
                <w:tab w:val="right" w:pos="8640"/>
              </w:tabs>
              <w:ind w:right="-49"/>
              <w:jc w:val="both"/>
              <w:rPr>
                <w:color w:val="auto"/>
                <w:sz w:val="24"/>
                <w:szCs w:val="24"/>
              </w:rPr>
            </w:pPr>
            <w:r>
              <w:rPr>
                <w:color w:val="auto"/>
                <w:sz w:val="24"/>
                <w:szCs w:val="24"/>
              </w:rPr>
              <w:t xml:space="preserve">- Một số điểm, khoản trong các điều 18a, 19, 20, 20a, 21, 22, 23, 24 quy định các điều kiện không cần thiết liên quan đến việc cấp giấy phép sử dụng tần số vô tuyến điện, đã được quy định tại các nội dung khác của luật này (các điều 17, 28, 29, 30, 32) hoặc phải tuân thủ theo pháp luật khác có liên quan. Các điều kiện này cần bãi bỏ để đáp ứng yêu cầu về đơn giản hóa thủ tục hành chính, điều kiện kinh doanh theo chủ trương chung của Đảng, Nhà nước.  </w:t>
            </w:r>
          </w:p>
          <w:p w14:paraId="14071708">
            <w:pPr>
              <w:tabs>
                <w:tab w:val="left" w:pos="3826"/>
                <w:tab w:val="right" w:pos="8640"/>
              </w:tabs>
              <w:ind w:right="-49"/>
              <w:jc w:val="both"/>
              <w:rPr>
                <w:color w:val="auto"/>
                <w:sz w:val="24"/>
                <w:szCs w:val="24"/>
              </w:rPr>
            </w:pPr>
            <w:r>
              <w:rPr>
                <w:color w:val="auto"/>
                <w:sz w:val="24"/>
                <w:szCs w:val="24"/>
              </w:rPr>
              <w:t>- Một số điểm, khoản trong các điều 5, 32 quy định quản lý việc đào tạo, cấp chứng chỉ vô tuyến điện viên đối với khai thác viên vô tuyến điện thuộc các nghiệp vụ di động hàng không, di động hàng hải, vô tuyến điện nghiệp dư chưa thực sự phù hợp với chủ trương</w:t>
            </w:r>
            <w:r>
              <w:rPr>
                <w:color w:val="auto"/>
              </w:rPr>
              <w:t xml:space="preserve"> </w:t>
            </w:r>
            <w:r>
              <w:rPr>
                <w:color w:val="auto"/>
                <w:sz w:val="24"/>
                <w:szCs w:val="24"/>
              </w:rPr>
              <w:t>cắt giảm ngành, nghề đầu tư kinh doanh có điều kiện</w:t>
            </w:r>
          </w:p>
        </w:tc>
        <w:tc>
          <w:tcPr>
            <w:tcW w:w="1394" w:type="dxa"/>
          </w:tcPr>
          <w:p w14:paraId="2F9D3162">
            <w:pPr>
              <w:jc w:val="center"/>
              <w:rPr>
                <w:color w:val="auto"/>
                <w:sz w:val="24"/>
                <w:szCs w:val="24"/>
              </w:rPr>
            </w:pPr>
            <w:r>
              <w:rPr>
                <w:color w:val="auto"/>
                <w:sz w:val="24"/>
                <w:szCs w:val="24"/>
              </w:rPr>
              <w:t>Luật sửa đổi, bổ sung</w:t>
            </w:r>
          </w:p>
        </w:tc>
        <w:tc>
          <w:tcPr>
            <w:tcW w:w="1275" w:type="dxa"/>
          </w:tcPr>
          <w:p w14:paraId="024AE4B2">
            <w:pPr>
              <w:jc w:val="center"/>
              <w:rPr>
                <w:color w:val="auto"/>
                <w:sz w:val="24"/>
                <w:szCs w:val="24"/>
              </w:rPr>
            </w:pPr>
            <w:r>
              <w:rPr>
                <w:rFonts w:hint="default"/>
                <w:color w:val="auto"/>
                <w:sz w:val="24"/>
                <w:szCs w:val="24"/>
                <w:lang w:val="en-US"/>
              </w:rPr>
              <w:t xml:space="preserve">Tháng </w:t>
            </w:r>
            <w:r>
              <w:rPr>
                <w:color w:val="auto"/>
                <w:sz w:val="24"/>
                <w:szCs w:val="24"/>
              </w:rPr>
              <w:t>8/2026</w:t>
            </w:r>
          </w:p>
        </w:tc>
        <w:tc>
          <w:tcPr>
            <w:tcW w:w="1245" w:type="dxa"/>
          </w:tcPr>
          <w:p w14:paraId="3AACE715">
            <w:pPr>
              <w:jc w:val="center"/>
              <w:rPr>
                <w:color w:val="auto"/>
                <w:sz w:val="24"/>
                <w:szCs w:val="24"/>
              </w:rPr>
            </w:pPr>
            <w:r>
              <w:rPr>
                <w:color w:val="auto"/>
                <w:sz w:val="24"/>
                <w:szCs w:val="24"/>
              </w:rPr>
              <w:t>Tiêu chí  4</w:t>
            </w:r>
          </w:p>
        </w:tc>
        <w:tc>
          <w:tcPr>
            <w:tcW w:w="1308" w:type="dxa"/>
          </w:tcPr>
          <w:p w14:paraId="43A9F7F2">
            <w:pPr>
              <w:jc w:val="center"/>
              <w:rPr>
                <w:color w:val="auto"/>
                <w:sz w:val="24"/>
                <w:szCs w:val="24"/>
              </w:rPr>
            </w:pPr>
          </w:p>
        </w:tc>
        <w:tc>
          <w:tcPr>
            <w:tcW w:w="2410" w:type="dxa"/>
          </w:tcPr>
          <w:p w14:paraId="2B66DD96">
            <w:pPr>
              <w:ind w:firstLine="284"/>
              <w:jc w:val="both"/>
              <w:rPr>
                <w:color w:val="auto"/>
                <w:sz w:val="24"/>
                <w:szCs w:val="24"/>
              </w:rPr>
            </w:pPr>
            <w:r>
              <w:rPr>
                <w:color w:val="auto"/>
                <w:sz w:val="24"/>
                <w:szCs w:val="24"/>
              </w:rPr>
              <w:t>Nhất trí</w:t>
            </w:r>
          </w:p>
          <w:p w14:paraId="4277D0D5">
            <w:pPr>
              <w:ind w:firstLine="284"/>
              <w:jc w:val="both"/>
              <w:rPr>
                <w:color w:val="auto"/>
                <w:sz w:val="24"/>
                <w:szCs w:val="24"/>
              </w:rPr>
            </w:pPr>
          </w:p>
        </w:tc>
      </w:tr>
      <w:tr w14:paraId="3AA925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22" w:hRule="atLeast"/>
          <w:jc w:val="center"/>
        </w:trPr>
        <w:tc>
          <w:tcPr>
            <w:tcW w:w="704" w:type="dxa"/>
          </w:tcPr>
          <w:p w14:paraId="7EE51B9F">
            <w:pPr>
              <w:numPr>
                <w:ilvl w:val="0"/>
                <w:numId w:val="4"/>
              </w:numPr>
              <w:tabs>
                <w:tab w:val="left" w:pos="425"/>
              </w:tabs>
              <w:jc w:val="center"/>
              <w:rPr>
                <w:color w:val="auto"/>
                <w:sz w:val="24"/>
                <w:szCs w:val="24"/>
              </w:rPr>
            </w:pPr>
          </w:p>
        </w:tc>
        <w:tc>
          <w:tcPr>
            <w:tcW w:w="1843" w:type="dxa"/>
          </w:tcPr>
          <w:p w14:paraId="5B48F1B9">
            <w:pPr>
              <w:tabs>
                <w:tab w:val="left" w:pos="3826"/>
                <w:tab w:val="right" w:pos="8640"/>
              </w:tabs>
              <w:ind w:right="-49"/>
              <w:jc w:val="both"/>
              <w:rPr>
                <w:color w:val="auto"/>
                <w:sz w:val="24"/>
                <w:szCs w:val="24"/>
              </w:rPr>
            </w:pPr>
            <w:r>
              <w:rPr>
                <w:color w:val="auto"/>
                <w:sz w:val="24"/>
                <w:szCs w:val="24"/>
              </w:rPr>
              <w:t xml:space="preserve">Nghị định số 63/2023/NĐ-CP ngày 18/8/2023 quy định chi tiết một số điều của Luật Tần số vô tuyến điện (đã được sửa đổi, bổ sung bởi các </w:t>
            </w:r>
            <w:r>
              <w:rPr>
                <w:color w:val="auto"/>
                <w:spacing w:val="-6"/>
                <w:sz w:val="24"/>
                <w:szCs w:val="24"/>
              </w:rPr>
              <w:t>Nghị định số 163/2024/NĐ-CP, 229/2025/NĐ-CP, 15/2026/NĐ-CP)</w:t>
            </w:r>
          </w:p>
        </w:tc>
        <w:tc>
          <w:tcPr>
            <w:tcW w:w="1417" w:type="dxa"/>
          </w:tcPr>
          <w:p w14:paraId="60B17E3F">
            <w:pPr>
              <w:tabs>
                <w:tab w:val="right" w:pos="8640"/>
              </w:tabs>
              <w:jc w:val="both"/>
              <w:rPr>
                <w:rFonts w:hint="default"/>
                <w:color w:val="auto"/>
                <w:sz w:val="24"/>
                <w:szCs w:val="24"/>
                <w:lang w:val="en-US"/>
              </w:rPr>
            </w:pPr>
            <w:r>
              <w:rPr>
                <w:color w:val="auto"/>
                <w:sz w:val="24"/>
                <w:szCs w:val="24"/>
              </w:rPr>
              <w:t>Cải cách TTHC, Nghị quyết 66.16/2026/NQ-CP ngày 7/4/2026 của Chính phủ</w:t>
            </w:r>
            <w:r>
              <w:rPr>
                <w:rFonts w:hint="default"/>
                <w:color w:val="auto"/>
                <w:sz w:val="24"/>
                <w:szCs w:val="24"/>
                <w:lang w:val="en-US"/>
              </w:rPr>
              <w:t xml:space="preserve"> cắt giảm, đơn giản hóa thủ tục hành chính, quy định liên quan đến hoạt động sản xuất, kinh doanh</w:t>
            </w:r>
          </w:p>
        </w:tc>
        <w:tc>
          <w:tcPr>
            <w:tcW w:w="4051" w:type="dxa"/>
          </w:tcPr>
          <w:p w14:paraId="52A2E964">
            <w:pPr>
              <w:tabs>
                <w:tab w:val="left" w:pos="3826"/>
                <w:tab w:val="right" w:pos="8640"/>
              </w:tabs>
              <w:ind w:right="-49"/>
              <w:jc w:val="both"/>
              <w:rPr>
                <w:color w:val="auto"/>
                <w:sz w:val="24"/>
                <w:szCs w:val="24"/>
              </w:rPr>
            </w:pPr>
            <w:r>
              <w:rPr>
                <w:color w:val="auto"/>
                <w:sz w:val="24"/>
                <w:szCs w:val="24"/>
              </w:rPr>
              <w:t>- Tại Nghị quyết 66.16/2026/NQ-CP ngày 7/4/2026 của Chính phủ về cắt giảm, đơn giản hóa thủ tục hành chính, quy định liên quan đến hoạt động sản xuất, kinh doanh, đã thực hiện cắt giảm, đơn giản hóa các thủ tục hành chính liên quan tới lĩnh vực tần số vô tuyến điện được quy định tại Nghị định 63/2023/NĐ-CP (cụ thể tại Mục 1 Phụ lục I.4 của Nghị quyết). Đồng thời, Nghị định 63/2023/NĐ-CP thuộc Danh mục văn bản được đề xuất sửa đổi, bổ sung để đảm bảo tính thống nhất, đồng bộ (Phụ lục II Nghị quyết 66.16/2026/NQ-CP)</w:t>
            </w:r>
          </w:p>
          <w:p w14:paraId="43AA7511">
            <w:pPr>
              <w:tabs>
                <w:tab w:val="left" w:pos="3826"/>
                <w:tab w:val="right" w:pos="8640"/>
              </w:tabs>
              <w:ind w:right="-49"/>
              <w:jc w:val="both"/>
              <w:rPr>
                <w:color w:val="auto"/>
                <w:sz w:val="24"/>
                <w:szCs w:val="24"/>
              </w:rPr>
            </w:pPr>
            <w:r>
              <w:rPr>
                <w:color w:val="auto"/>
                <w:sz w:val="24"/>
                <w:szCs w:val="24"/>
              </w:rPr>
              <w:t>- Theo Nghị quyết số 66.18/2026/NQ-CP ngày 18/5/2026 về phân quyền, cắt giảm, đơn giản hóa Thủ tục hành chính, điều kiện kinh doanh, đã thực hiện cắt giảm đơn giản hóa thủ tục hành chính liên quan tới lĩnh vực tần số vô tuyến điện được quy định tại Nghị định 63/2023/NĐ-CP (cụ thể tại Mục 2 Phụ lục I.3 của Nghị quyết).</w:t>
            </w:r>
          </w:p>
          <w:p w14:paraId="7E446518">
            <w:pPr>
              <w:tabs>
                <w:tab w:val="left" w:pos="3826"/>
                <w:tab w:val="right" w:pos="8640"/>
              </w:tabs>
              <w:ind w:right="-49"/>
              <w:jc w:val="both"/>
              <w:rPr>
                <w:color w:val="auto"/>
                <w:sz w:val="24"/>
                <w:szCs w:val="24"/>
              </w:rPr>
            </w:pPr>
            <w:r>
              <w:rPr>
                <w:color w:val="auto"/>
                <w:sz w:val="24"/>
                <w:szCs w:val="24"/>
              </w:rPr>
              <w:t>- Tại Nghị định số 15/2026/NĐ-CP ngày 14/1/2026 của Chính phủ đã thực hiện cắt giảm, đơn giản hóa thủ tục hành chính liên quan tới lĩnh vực tần số vô tuyến điện tại Nghị định số 63/2023/NĐ-CP và Nghị định 133/2025/NĐ-CP.</w:t>
            </w:r>
          </w:p>
          <w:p w14:paraId="4518579B">
            <w:pPr>
              <w:tabs>
                <w:tab w:val="left" w:pos="3826"/>
                <w:tab w:val="right" w:pos="8640"/>
              </w:tabs>
              <w:ind w:right="-49"/>
              <w:jc w:val="both"/>
              <w:rPr>
                <w:color w:val="auto"/>
                <w:sz w:val="24"/>
                <w:szCs w:val="24"/>
              </w:rPr>
            </w:pPr>
            <w:r>
              <w:rPr>
                <w:color w:val="auto"/>
                <w:sz w:val="24"/>
                <w:szCs w:val="24"/>
              </w:rPr>
              <w:t>- Khắc phục một số vướng mắc trước đây về xác định mức thu cơ sở, giá khởi điểm, xử lý tình huống đấu một người, cho thuê, cho mượn thiết bị vô tuyến điện …</w:t>
            </w:r>
          </w:p>
          <w:p w14:paraId="2597F829">
            <w:pPr>
              <w:tabs>
                <w:tab w:val="left" w:pos="3826"/>
                <w:tab w:val="right" w:pos="8640"/>
              </w:tabs>
              <w:ind w:right="-49"/>
              <w:jc w:val="both"/>
              <w:rPr>
                <w:color w:val="auto"/>
                <w:sz w:val="24"/>
                <w:szCs w:val="24"/>
              </w:rPr>
            </w:pPr>
            <w:r>
              <w:rPr>
                <w:color w:val="auto"/>
                <w:sz w:val="24"/>
                <w:szCs w:val="24"/>
              </w:rPr>
              <w:t>- Giảm gánh nặng tài chính để thúc đẩy doanh nghiệp đầu tư phát triển hạ tầng viễn thông chi phí tuân thủ cho doanh nghiệp (điều chỉnh thu tiền trúng đấu giá từ 3 lần trong 5 năm thành thu tiền hằng năm).</w:t>
            </w:r>
          </w:p>
          <w:p w14:paraId="75D0365B">
            <w:pPr>
              <w:pStyle w:val="15"/>
              <w:spacing w:before="0" w:beforeAutospacing="0" w:after="0" w:afterAutospacing="0"/>
              <w:jc w:val="both"/>
              <w:rPr>
                <w:color w:val="auto"/>
              </w:rPr>
            </w:pPr>
            <w:r>
              <w:rPr>
                <w:color w:val="auto"/>
              </w:rPr>
              <w:t>Các điều khoản cần được sửa đổi, bổ sung, thay thế, bãi bỏ của Nghị định:</w:t>
            </w:r>
          </w:p>
          <w:p w14:paraId="155CD074">
            <w:pPr>
              <w:pStyle w:val="15"/>
              <w:spacing w:before="0" w:beforeAutospacing="0" w:after="0" w:afterAutospacing="0"/>
              <w:jc w:val="both"/>
              <w:rPr>
                <w:color w:val="auto"/>
              </w:rPr>
            </w:pPr>
            <w:r>
              <w:rPr>
                <w:color w:val="auto"/>
              </w:rPr>
              <w:t>- Sửa đổi, bổ sung các Điều 1, 15, 19, 26, 28, 33, 34, 35 để đồng bộ với cắt giảm điều kiện cấp giấy phép sử dụng tần số tại Nghị quyết số 66.16/2026/NQ-CP và Nghị quyết 66.18/2026/NQ-CP.</w:t>
            </w:r>
          </w:p>
          <w:p w14:paraId="00C99387">
            <w:pPr>
              <w:pStyle w:val="15"/>
              <w:spacing w:before="0" w:beforeAutospacing="0" w:after="0" w:afterAutospacing="0"/>
              <w:jc w:val="both"/>
              <w:rPr>
                <w:color w:val="auto"/>
              </w:rPr>
            </w:pPr>
            <w:r>
              <w:rPr>
                <w:color w:val="auto"/>
              </w:rPr>
              <w:t>- Sửa đổi, bổ sung các Điều: 6, 8, 9, 10, 11, 12, 13, 14, 16, 41 để đồng bộ với cắt giảm thời gian thực hiện TTHC tại Nghị quyết số 66.16/2026/NQ-CP và Nghị quyết 66.18/2026/NQ-CP.</w:t>
            </w:r>
          </w:p>
          <w:p w14:paraId="3655CDF5">
            <w:pPr>
              <w:pStyle w:val="15"/>
              <w:spacing w:before="0" w:beforeAutospacing="0" w:after="0" w:afterAutospacing="0"/>
              <w:jc w:val="both"/>
              <w:rPr>
                <w:color w:val="auto"/>
              </w:rPr>
            </w:pPr>
            <w:r>
              <w:rPr>
                <w:color w:val="auto"/>
              </w:rPr>
              <w:t>- Sửa đổi, bổ sung Điều 1 và bãi bỏ các Điều từ 57-85 để đồng bộ với việc bãi bỏ ngành, nghề đầu tư kinh doanh có điều kiện “đào tạo, cấp chứng chỉ vô tuyến điện viên” tại Luật Đầu tư theo Nghị quyết số 66.17/2026/NQ-CP và đồng bộ với quy định về chứng chỉ vô tuyến điện viên tại Nghị quyết số 66.18/NQ-CP, thống nhất với quy định của pháp luật về hàng không, hàng hải (bảo đảm năng lực đối với người khai thác thiết bị vô tuyến điện trong lĩnh vực hàng không, hàng hải).</w:t>
            </w:r>
          </w:p>
          <w:p w14:paraId="6C0323E7">
            <w:pPr>
              <w:pStyle w:val="15"/>
              <w:spacing w:before="0" w:beforeAutospacing="0" w:after="0" w:afterAutospacing="0"/>
              <w:jc w:val="both"/>
              <w:rPr>
                <w:color w:val="auto"/>
              </w:rPr>
            </w:pPr>
            <w:r>
              <w:rPr>
                <w:color w:val="auto"/>
              </w:rPr>
              <w:t>- Bãi bỏ Điều 5 về Cơ quan cấp giấy phép sử dụng tần số vô tuyến điện (đồng thời xây dựng Thông tư quy định về phân cấp cấp, sửa đổi, bổ sung, thu hồi, ngừng sử dụng tần số VTĐ để thực hiện phân cấp cho địa phương thực hiện TTHC) để thực hiện chủ trương của Đảng và Nhà nước về đẩy mạnh phân cấp cho địa phương thực hiện TTHC, phù hợp với Luật Tổ chức Chính phủ.</w:t>
            </w:r>
          </w:p>
          <w:p w14:paraId="47E95277">
            <w:pPr>
              <w:pStyle w:val="15"/>
              <w:spacing w:before="0" w:beforeAutospacing="0" w:after="0" w:afterAutospacing="0"/>
              <w:jc w:val="both"/>
              <w:rPr>
                <w:color w:val="auto"/>
              </w:rPr>
            </w:pPr>
            <w:r>
              <w:rPr>
                <w:color w:val="auto"/>
              </w:rPr>
              <w:t>- Xem xét sửa đổi, bổ sung các nội dung khác liên quan tới tiền cấp quyền: Điều 17, 49, 53.</w:t>
            </w:r>
          </w:p>
        </w:tc>
        <w:tc>
          <w:tcPr>
            <w:tcW w:w="1394" w:type="dxa"/>
          </w:tcPr>
          <w:p w14:paraId="22968B97">
            <w:pPr>
              <w:jc w:val="center"/>
              <w:rPr>
                <w:color w:val="auto"/>
                <w:sz w:val="24"/>
                <w:szCs w:val="24"/>
              </w:rPr>
            </w:pPr>
            <w:r>
              <w:rPr>
                <w:rFonts w:hint="default"/>
                <w:color w:val="auto"/>
                <w:sz w:val="24"/>
                <w:szCs w:val="24"/>
                <w:lang w:val="en-US"/>
              </w:rPr>
              <w:t>T</w:t>
            </w:r>
            <w:r>
              <w:rPr>
                <w:color w:val="auto"/>
                <w:sz w:val="24"/>
                <w:szCs w:val="24"/>
              </w:rPr>
              <w:t>hay thế</w:t>
            </w:r>
          </w:p>
        </w:tc>
        <w:tc>
          <w:tcPr>
            <w:tcW w:w="1275" w:type="dxa"/>
          </w:tcPr>
          <w:p w14:paraId="69882D62">
            <w:pPr>
              <w:jc w:val="center"/>
              <w:rPr>
                <w:color w:val="auto"/>
                <w:sz w:val="24"/>
                <w:szCs w:val="24"/>
              </w:rPr>
            </w:pPr>
            <w:r>
              <w:rPr>
                <w:color w:val="auto"/>
                <w:sz w:val="24"/>
                <w:szCs w:val="24"/>
              </w:rPr>
              <w:t>Tháng 3/2027</w:t>
            </w:r>
          </w:p>
        </w:tc>
        <w:tc>
          <w:tcPr>
            <w:tcW w:w="1245" w:type="dxa"/>
          </w:tcPr>
          <w:p w14:paraId="3A84D51B">
            <w:pPr>
              <w:ind w:left="-51"/>
              <w:jc w:val="center"/>
              <w:rPr>
                <w:color w:val="auto"/>
                <w:sz w:val="24"/>
                <w:szCs w:val="24"/>
              </w:rPr>
            </w:pPr>
            <w:r>
              <w:rPr>
                <w:color w:val="auto"/>
                <w:sz w:val="24"/>
                <w:szCs w:val="24"/>
              </w:rPr>
              <w:t>Tiêu chí  2.3, Tiêu chí  4, Tiêu chí  5</w:t>
            </w:r>
          </w:p>
        </w:tc>
        <w:tc>
          <w:tcPr>
            <w:tcW w:w="1308" w:type="dxa"/>
          </w:tcPr>
          <w:p w14:paraId="5C6495B7">
            <w:pPr>
              <w:jc w:val="center"/>
              <w:rPr>
                <w:color w:val="auto"/>
                <w:sz w:val="24"/>
                <w:szCs w:val="24"/>
              </w:rPr>
            </w:pPr>
            <w:r>
              <w:rPr>
                <w:color w:val="auto"/>
                <w:sz w:val="24"/>
                <w:szCs w:val="24"/>
              </w:rPr>
              <w:t>Đã cập nhật theo ý kiến thẩm định</w:t>
            </w:r>
          </w:p>
        </w:tc>
        <w:tc>
          <w:tcPr>
            <w:tcW w:w="2410" w:type="dxa"/>
          </w:tcPr>
          <w:p w14:paraId="0C8C706E">
            <w:pPr>
              <w:ind w:firstLine="284"/>
              <w:jc w:val="both"/>
              <w:rPr>
                <w:color w:val="auto"/>
                <w:sz w:val="24"/>
                <w:szCs w:val="24"/>
              </w:rPr>
            </w:pPr>
            <w:r>
              <w:rPr>
                <w:color w:val="auto"/>
                <w:sz w:val="24"/>
                <w:szCs w:val="24"/>
              </w:rPr>
              <w:t>- Cần làm rõ, hoàn thiện thêm nội dung, quy định cần xử lý tại Điều, khoản, điểm nào.</w:t>
            </w:r>
          </w:p>
          <w:p w14:paraId="0091E9D2">
            <w:pPr>
              <w:ind w:firstLine="284"/>
              <w:jc w:val="both"/>
              <w:rPr>
                <w:color w:val="auto"/>
                <w:sz w:val="24"/>
                <w:szCs w:val="24"/>
              </w:rPr>
            </w:pPr>
            <w:r>
              <w:rPr>
                <w:color w:val="auto"/>
                <w:sz w:val="24"/>
                <w:szCs w:val="24"/>
              </w:rPr>
              <w:t>- Lộ trình xử lý đang chưa thống nhất.</w:t>
            </w:r>
          </w:p>
          <w:p w14:paraId="79B6DEBF">
            <w:pPr>
              <w:ind w:firstLine="284"/>
              <w:jc w:val="both"/>
              <w:rPr>
                <w:color w:val="auto"/>
                <w:sz w:val="24"/>
                <w:szCs w:val="24"/>
              </w:rPr>
            </w:pPr>
          </w:p>
        </w:tc>
      </w:tr>
      <w:tr w14:paraId="6DF986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04" w:type="dxa"/>
          </w:tcPr>
          <w:p w14:paraId="4D5D5202">
            <w:pPr>
              <w:numPr>
                <w:ilvl w:val="0"/>
                <w:numId w:val="4"/>
              </w:numPr>
              <w:tabs>
                <w:tab w:val="left" w:pos="425"/>
              </w:tabs>
              <w:jc w:val="center"/>
              <w:rPr>
                <w:color w:val="auto"/>
                <w:sz w:val="24"/>
                <w:szCs w:val="24"/>
              </w:rPr>
            </w:pPr>
          </w:p>
        </w:tc>
        <w:tc>
          <w:tcPr>
            <w:tcW w:w="1843" w:type="dxa"/>
          </w:tcPr>
          <w:p w14:paraId="3F871987">
            <w:pPr>
              <w:tabs>
                <w:tab w:val="left" w:pos="3826"/>
                <w:tab w:val="right" w:pos="8640"/>
              </w:tabs>
              <w:ind w:right="-49"/>
              <w:jc w:val="both"/>
              <w:rPr>
                <w:color w:val="auto"/>
                <w:sz w:val="24"/>
                <w:szCs w:val="24"/>
              </w:rPr>
            </w:pPr>
            <w:r>
              <w:rPr>
                <w:color w:val="auto"/>
                <w:sz w:val="24"/>
                <w:szCs w:val="24"/>
              </w:rPr>
              <w:t>Thông tư số 10/2013/TTLL-BTTT-BQP-BCA về phối hợp hướng dẫn cơ chế phối hợp xử lý nhiễu có hại giữa các đài vô tuyến điện phục vụ mục đích quốc phòng, an ninh và mục đích kinh tế - xã hội.</w:t>
            </w:r>
          </w:p>
        </w:tc>
        <w:tc>
          <w:tcPr>
            <w:tcW w:w="1417" w:type="dxa"/>
          </w:tcPr>
          <w:p w14:paraId="0680612A">
            <w:pPr>
              <w:tabs>
                <w:tab w:val="right" w:pos="8640"/>
              </w:tabs>
              <w:ind w:right="149"/>
              <w:jc w:val="both"/>
              <w:rPr>
                <w:color w:val="auto"/>
                <w:sz w:val="24"/>
                <w:szCs w:val="24"/>
              </w:rPr>
            </w:pPr>
            <w:r>
              <w:rPr>
                <w:color w:val="auto"/>
                <w:sz w:val="24"/>
                <w:szCs w:val="24"/>
              </w:rPr>
              <w:t>Tình hình thực tiễn</w:t>
            </w:r>
          </w:p>
        </w:tc>
        <w:tc>
          <w:tcPr>
            <w:tcW w:w="4051" w:type="dxa"/>
          </w:tcPr>
          <w:p w14:paraId="1FF33B49">
            <w:pPr>
              <w:tabs>
                <w:tab w:val="left" w:pos="3826"/>
                <w:tab w:val="right" w:pos="8640"/>
              </w:tabs>
              <w:ind w:right="-49"/>
              <w:jc w:val="both"/>
              <w:rPr>
                <w:color w:val="auto"/>
                <w:sz w:val="24"/>
                <w:szCs w:val="24"/>
              </w:rPr>
            </w:pPr>
            <w:r>
              <w:rPr>
                <w:color w:val="auto"/>
                <w:sz w:val="24"/>
                <w:szCs w:val="24"/>
              </w:rPr>
              <w:t>Mới chỉ quy định việc phối hợp xử lý nhiễu sau khi nhiễu đã xảy ra. (1) Chưa quy định việc phòng ngừa nhiễu, nhằm ngăn chặn nhiễu từ sớm; (2) trình tự thủ tục và thời gian xử lý chưa đáp ứng được đối với trường hợp xảy ra nhiễu tại các sự kiện của đất nước, khi mà cần phải xử lý nhiễu ngay và phối hợp trực tiếp qua các cán bộ đầu mối ngoài thực địa; (3) Hình thức văn bản không còn phù hợp theo Luật Ban hành văn bản quy phạm pháp luật 2025.</w:t>
            </w:r>
          </w:p>
        </w:tc>
        <w:tc>
          <w:tcPr>
            <w:tcW w:w="1394" w:type="dxa"/>
          </w:tcPr>
          <w:p w14:paraId="4D41A83A">
            <w:pPr>
              <w:jc w:val="center"/>
              <w:rPr>
                <w:color w:val="auto"/>
                <w:sz w:val="24"/>
                <w:szCs w:val="24"/>
              </w:rPr>
            </w:pPr>
            <w:r>
              <w:rPr>
                <w:color w:val="auto"/>
                <w:sz w:val="24"/>
                <w:szCs w:val="24"/>
              </w:rPr>
              <w:t>Văn bản thay thế</w:t>
            </w:r>
          </w:p>
        </w:tc>
        <w:tc>
          <w:tcPr>
            <w:tcW w:w="1275" w:type="dxa"/>
          </w:tcPr>
          <w:p w14:paraId="40987E8F">
            <w:pPr>
              <w:jc w:val="center"/>
              <w:rPr>
                <w:color w:val="auto"/>
                <w:sz w:val="24"/>
                <w:szCs w:val="24"/>
              </w:rPr>
            </w:pPr>
            <w:r>
              <w:rPr>
                <w:rFonts w:hint="default"/>
                <w:color w:val="auto"/>
                <w:sz w:val="24"/>
                <w:szCs w:val="24"/>
                <w:lang w:val="en-US"/>
              </w:rPr>
              <w:t>Tháng 12/</w:t>
            </w:r>
            <w:r>
              <w:rPr>
                <w:color w:val="auto"/>
                <w:sz w:val="24"/>
                <w:szCs w:val="24"/>
              </w:rPr>
              <w:t>2026</w:t>
            </w:r>
          </w:p>
        </w:tc>
        <w:tc>
          <w:tcPr>
            <w:tcW w:w="1245" w:type="dxa"/>
          </w:tcPr>
          <w:p w14:paraId="35A84838">
            <w:pPr>
              <w:jc w:val="center"/>
              <w:rPr>
                <w:color w:val="auto"/>
                <w:sz w:val="24"/>
                <w:szCs w:val="24"/>
              </w:rPr>
            </w:pPr>
            <w:r>
              <w:rPr>
                <w:color w:val="auto"/>
                <w:sz w:val="24"/>
                <w:szCs w:val="24"/>
              </w:rPr>
              <w:t>Tiêu chí 5</w:t>
            </w:r>
          </w:p>
        </w:tc>
        <w:tc>
          <w:tcPr>
            <w:tcW w:w="1308" w:type="dxa"/>
          </w:tcPr>
          <w:p w14:paraId="3A56D2EE">
            <w:pPr>
              <w:jc w:val="center"/>
              <w:rPr>
                <w:color w:val="auto"/>
                <w:sz w:val="24"/>
                <w:szCs w:val="24"/>
              </w:rPr>
            </w:pPr>
          </w:p>
        </w:tc>
        <w:tc>
          <w:tcPr>
            <w:tcW w:w="2410" w:type="dxa"/>
          </w:tcPr>
          <w:p w14:paraId="226601BF">
            <w:pPr>
              <w:ind w:firstLine="284"/>
              <w:jc w:val="both"/>
              <w:rPr>
                <w:color w:val="auto"/>
                <w:sz w:val="24"/>
                <w:szCs w:val="24"/>
              </w:rPr>
            </w:pPr>
            <w:r>
              <w:rPr>
                <w:color w:val="auto"/>
                <w:sz w:val="24"/>
                <w:szCs w:val="24"/>
              </w:rPr>
              <w:t>Nhất trí</w:t>
            </w:r>
          </w:p>
        </w:tc>
      </w:tr>
      <w:tr w14:paraId="27AC8F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04" w:type="dxa"/>
          </w:tcPr>
          <w:p w14:paraId="19C45853">
            <w:pPr>
              <w:numPr>
                <w:ilvl w:val="0"/>
                <w:numId w:val="4"/>
              </w:numPr>
              <w:tabs>
                <w:tab w:val="left" w:pos="425"/>
              </w:tabs>
              <w:jc w:val="center"/>
              <w:rPr>
                <w:color w:val="auto"/>
                <w:sz w:val="24"/>
                <w:szCs w:val="24"/>
              </w:rPr>
            </w:pPr>
          </w:p>
        </w:tc>
        <w:tc>
          <w:tcPr>
            <w:tcW w:w="1843" w:type="dxa"/>
          </w:tcPr>
          <w:p w14:paraId="7B82FB13">
            <w:pPr>
              <w:tabs>
                <w:tab w:val="left" w:pos="3826"/>
                <w:tab w:val="right" w:pos="8640"/>
              </w:tabs>
              <w:ind w:right="-49"/>
              <w:jc w:val="both"/>
              <w:rPr>
                <w:color w:val="auto"/>
                <w:sz w:val="24"/>
                <w:szCs w:val="24"/>
              </w:rPr>
            </w:pPr>
            <w:r>
              <w:rPr>
                <w:color w:val="auto"/>
                <w:sz w:val="24"/>
                <w:szCs w:val="24"/>
              </w:rPr>
              <w:t>Thông tư 02/2016/TT-BTTTT quy định kiểm tra tần số vô tuyến điện</w:t>
            </w:r>
          </w:p>
        </w:tc>
        <w:tc>
          <w:tcPr>
            <w:tcW w:w="1417" w:type="dxa"/>
          </w:tcPr>
          <w:p w14:paraId="779EED87">
            <w:pPr>
              <w:tabs>
                <w:tab w:val="right" w:pos="8640"/>
              </w:tabs>
              <w:ind w:right="149"/>
              <w:jc w:val="both"/>
              <w:rPr>
                <w:color w:val="auto"/>
                <w:sz w:val="24"/>
                <w:szCs w:val="24"/>
              </w:rPr>
            </w:pPr>
            <w:r>
              <w:rPr>
                <w:color w:val="auto"/>
                <w:sz w:val="24"/>
                <w:szCs w:val="24"/>
              </w:rPr>
              <w:t xml:space="preserve">Luật Thanh tra năm 2022 </w:t>
            </w:r>
          </w:p>
        </w:tc>
        <w:tc>
          <w:tcPr>
            <w:tcW w:w="4051" w:type="dxa"/>
          </w:tcPr>
          <w:p w14:paraId="7ED3DD8F">
            <w:pPr>
              <w:tabs>
                <w:tab w:val="left" w:pos="3826"/>
                <w:tab w:val="right" w:pos="8640"/>
              </w:tabs>
              <w:ind w:right="-49"/>
              <w:jc w:val="both"/>
              <w:rPr>
                <w:color w:val="auto"/>
                <w:sz w:val="24"/>
                <w:szCs w:val="24"/>
              </w:rPr>
            </w:pPr>
            <w:r>
              <w:rPr>
                <w:color w:val="auto"/>
                <w:sz w:val="24"/>
                <w:szCs w:val="24"/>
              </w:rPr>
              <w:t xml:space="preserve">Thông tư số 02/2016/TT-BTTTT sau gần 10 năm thực hiện, hệ thống pháp luật về thanh tra, kiểm tra đã có nhiều thay đổi, đặc biệt là Luật Thanh tra năm 2022 và các văn bản hướng dẫn thi hành, với yêu cầu đổi mới phương thức kiểm tra theo hướng tinh gọn, không chồng chéo, tăng cường ứng dụng công nghệ thông tin và quản lý dựa trên dữ liệu, rủi ro. Đồng thời, chức năng quản lý nhà nước về tần số vô tuyến điện hiện do Bộ Khoa học và Công nghệ thực hiện, đòi hỏi phải rà soát, sửa đổi Thông tư cho phù hợp với mô hình tổ chức và thực tiễn quản lý mới, bảo đảm tính đồng bộ, hiệu lực và hiệu quả của hệ thống pháp luật. </w:t>
            </w:r>
            <w:r>
              <w:rPr>
                <w:b/>
                <w:bCs/>
                <w:i/>
                <w:iCs/>
                <w:color w:val="auto"/>
                <w:sz w:val="24"/>
                <w:szCs w:val="24"/>
              </w:rPr>
              <w:t xml:space="preserve"> </w:t>
            </w:r>
          </w:p>
          <w:p w14:paraId="77940B69">
            <w:pPr>
              <w:tabs>
                <w:tab w:val="left" w:pos="3826"/>
                <w:tab w:val="right" w:pos="8640"/>
              </w:tabs>
              <w:ind w:right="-49"/>
              <w:jc w:val="both"/>
              <w:rPr>
                <w:color w:val="auto"/>
                <w:sz w:val="24"/>
                <w:szCs w:val="24"/>
              </w:rPr>
            </w:pPr>
            <w:r>
              <w:rPr>
                <w:color w:val="auto"/>
                <w:sz w:val="24"/>
                <w:szCs w:val="24"/>
              </w:rPr>
              <w:t>Nội dung về thể chế hóa đầy đủ các quy định pháp luật hiện hành; chuẩn hóa quy trình, phương thức kiểm tra theo hướng hiện đại, minh bạch, hiệu quả; cơ sở pháp lý cho việc ứng dụng dữ liệu liên ngành, công nghệ số trong phát hiện, giám sát và xử lý vi phạm; đồng thời nâng cao hiệu lực, hiệu quả công tác quản lý nhà nước về tần số vô tuyến điện trong bối cảnh mới bảo đảm phù hợp với các quy định pháp luật mới ban hành, đặc biệt là Luật Tần số vô tuyến điện 2022, Luật Thanh tra 2025 và Nghị định 217/2025/NĐ-CP về hoạt động kiểm tra chuyên ngành.</w:t>
            </w:r>
          </w:p>
        </w:tc>
        <w:tc>
          <w:tcPr>
            <w:tcW w:w="1394" w:type="dxa"/>
          </w:tcPr>
          <w:p w14:paraId="58EA1C97">
            <w:pPr>
              <w:jc w:val="center"/>
              <w:rPr>
                <w:color w:val="auto"/>
                <w:sz w:val="24"/>
                <w:szCs w:val="24"/>
              </w:rPr>
            </w:pPr>
            <w:r>
              <w:rPr>
                <w:color w:val="auto"/>
                <w:sz w:val="24"/>
                <w:szCs w:val="24"/>
              </w:rPr>
              <w:t>Thông tư thay thế</w:t>
            </w:r>
          </w:p>
        </w:tc>
        <w:tc>
          <w:tcPr>
            <w:tcW w:w="1275" w:type="dxa"/>
          </w:tcPr>
          <w:p w14:paraId="3EC89A3B">
            <w:pPr>
              <w:jc w:val="center"/>
              <w:rPr>
                <w:color w:val="auto"/>
                <w:sz w:val="24"/>
                <w:szCs w:val="24"/>
              </w:rPr>
            </w:pPr>
            <w:r>
              <w:rPr>
                <w:rFonts w:hint="default"/>
                <w:color w:val="auto"/>
                <w:sz w:val="24"/>
                <w:szCs w:val="24"/>
                <w:lang w:val="en-US"/>
              </w:rPr>
              <w:t>Tháng 12/</w:t>
            </w:r>
            <w:r>
              <w:rPr>
                <w:color w:val="auto"/>
                <w:sz w:val="24"/>
                <w:szCs w:val="24"/>
              </w:rPr>
              <w:t>2026</w:t>
            </w:r>
          </w:p>
        </w:tc>
        <w:tc>
          <w:tcPr>
            <w:tcW w:w="1245" w:type="dxa"/>
          </w:tcPr>
          <w:p w14:paraId="41EB05FF">
            <w:pPr>
              <w:jc w:val="center"/>
              <w:rPr>
                <w:color w:val="auto"/>
                <w:sz w:val="24"/>
                <w:szCs w:val="24"/>
              </w:rPr>
            </w:pPr>
            <w:r>
              <w:rPr>
                <w:color w:val="auto"/>
                <w:sz w:val="24"/>
                <w:szCs w:val="24"/>
              </w:rPr>
              <w:t>Tiêu chí  2</w:t>
            </w:r>
          </w:p>
        </w:tc>
        <w:tc>
          <w:tcPr>
            <w:tcW w:w="1308" w:type="dxa"/>
          </w:tcPr>
          <w:p w14:paraId="44BD3540">
            <w:pPr>
              <w:jc w:val="center"/>
              <w:rPr>
                <w:color w:val="auto"/>
                <w:sz w:val="24"/>
                <w:szCs w:val="24"/>
              </w:rPr>
            </w:pPr>
          </w:p>
        </w:tc>
        <w:tc>
          <w:tcPr>
            <w:tcW w:w="2410" w:type="dxa"/>
          </w:tcPr>
          <w:p w14:paraId="659464C4">
            <w:pPr>
              <w:ind w:firstLine="284"/>
              <w:jc w:val="both"/>
              <w:rPr>
                <w:color w:val="auto"/>
                <w:sz w:val="24"/>
                <w:szCs w:val="24"/>
              </w:rPr>
            </w:pPr>
            <w:r>
              <w:rPr>
                <w:color w:val="auto"/>
                <w:sz w:val="24"/>
                <w:szCs w:val="24"/>
              </w:rPr>
              <w:t>Nhất trí</w:t>
            </w:r>
          </w:p>
        </w:tc>
      </w:tr>
      <w:tr w14:paraId="1D9D02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04" w:type="dxa"/>
          </w:tcPr>
          <w:p w14:paraId="3D749506">
            <w:pPr>
              <w:numPr>
                <w:ilvl w:val="0"/>
                <w:numId w:val="4"/>
              </w:numPr>
              <w:tabs>
                <w:tab w:val="left" w:pos="425"/>
              </w:tabs>
              <w:jc w:val="center"/>
              <w:rPr>
                <w:color w:val="auto"/>
                <w:sz w:val="24"/>
                <w:szCs w:val="24"/>
              </w:rPr>
            </w:pPr>
          </w:p>
        </w:tc>
        <w:tc>
          <w:tcPr>
            <w:tcW w:w="1843" w:type="dxa"/>
          </w:tcPr>
          <w:p w14:paraId="056731D9">
            <w:pPr>
              <w:tabs>
                <w:tab w:val="right" w:pos="8640"/>
              </w:tabs>
              <w:jc w:val="both"/>
              <w:rPr>
                <w:color w:val="auto"/>
                <w:sz w:val="24"/>
                <w:szCs w:val="24"/>
              </w:rPr>
            </w:pPr>
            <w:r>
              <w:rPr>
                <w:color w:val="auto"/>
                <w:sz w:val="24"/>
                <w:szCs w:val="24"/>
              </w:rPr>
              <w:t>Thông tư 37/2017/TT-</w:t>
            </w:r>
          </w:p>
          <w:p w14:paraId="091460F6">
            <w:pPr>
              <w:tabs>
                <w:tab w:val="right" w:pos="8640"/>
              </w:tabs>
              <w:jc w:val="both"/>
              <w:rPr>
                <w:color w:val="auto"/>
                <w:sz w:val="24"/>
                <w:szCs w:val="24"/>
              </w:rPr>
            </w:pPr>
            <w:r>
              <w:rPr>
                <w:color w:val="auto"/>
                <w:sz w:val="24"/>
                <w:szCs w:val="24"/>
              </w:rPr>
              <w:t>BTTTT ngày 07/12/2017 về quy hoạch sử dụng kênh tần số phát thanh FM</w:t>
            </w:r>
          </w:p>
        </w:tc>
        <w:tc>
          <w:tcPr>
            <w:tcW w:w="1417" w:type="dxa"/>
          </w:tcPr>
          <w:p w14:paraId="62594DDC">
            <w:pPr>
              <w:tabs>
                <w:tab w:val="right" w:pos="8640"/>
              </w:tabs>
              <w:ind w:right="149"/>
              <w:jc w:val="both"/>
              <w:rPr>
                <w:color w:val="auto"/>
                <w:sz w:val="24"/>
                <w:szCs w:val="24"/>
              </w:rPr>
            </w:pPr>
            <w:r>
              <w:rPr>
                <w:color w:val="auto"/>
                <w:sz w:val="24"/>
                <w:szCs w:val="24"/>
              </w:rPr>
              <w:t>Tình hình thực tiễn</w:t>
            </w:r>
          </w:p>
        </w:tc>
        <w:tc>
          <w:tcPr>
            <w:tcW w:w="4051" w:type="dxa"/>
          </w:tcPr>
          <w:p w14:paraId="6BB0C8CC">
            <w:pPr>
              <w:tabs>
                <w:tab w:val="right" w:pos="8640"/>
              </w:tabs>
              <w:ind w:left="1"/>
              <w:jc w:val="both"/>
              <w:rPr>
                <w:color w:val="auto"/>
                <w:sz w:val="24"/>
                <w:szCs w:val="24"/>
              </w:rPr>
            </w:pPr>
            <w:r>
              <w:rPr>
                <w:color w:val="auto"/>
                <w:sz w:val="24"/>
                <w:szCs w:val="24"/>
              </w:rPr>
              <w:t xml:space="preserve">Nội dung quy định về tần số theo địa bàn tỉnh, thành phố trực thuộc trung ương tại Phụ lục II và III không còn phù hợp với địa bàn tỉnh, thành phố sau sắp xếp lại các Tỉnh theo quy định tại Điều 1 Nghị quyết số 202/2025/QH15 của Quốc hội ngày 12/06/2025 về việc sắp xếp đơn vị hành chính cấp tỉnh. </w:t>
            </w:r>
          </w:p>
        </w:tc>
        <w:tc>
          <w:tcPr>
            <w:tcW w:w="1394" w:type="dxa"/>
          </w:tcPr>
          <w:p w14:paraId="71CBA54B">
            <w:pPr>
              <w:jc w:val="center"/>
              <w:rPr>
                <w:color w:val="auto"/>
                <w:sz w:val="24"/>
                <w:szCs w:val="24"/>
              </w:rPr>
            </w:pPr>
            <w:r>
              <w:rPr>
                <w:color w:val="auto"/>
                <w:sz w:val="24"/>
                <w:szCs w:val="24"/>
              </w:rPr>
              <w:t>Thông tư thay thế</w:t>
            </w:r>
          </w:p>
        </w:tc>
        <w:tc>
          <w:tcPr>
            <w:tcW w:w="1275" w:type="dxa"/>
          </w:tcPr>
          <w:p w14:paraId="102F7293">
            <w:pPr>
              <w:jc w:val="center"/>
              <w:rPr>
                <w:color w:val="auto"/>
                <w:sz w:val="24"/>
                <w:szCs w:val="24"/>
              </w:rPr>
            </w:pPr>
            <w:r>
              <w:rPr>
                <w:rFonts w:hint="default"/>
                <w:color w:val="auto"/>
                <w:sz w:val="24"/>
                <w:szCs w:val="24"/>
                <w:lang w:val="en-US"/>
              </w:rPr>
              <w:t>Tháng 12/</w:t>
            </w:r>
            <w:r>
              <w:rPr>
                <w:color w:val="auto"/>
                <w:sz w:val="24"/>
                <w:szCs w:val="24"/>
              </w:rPr>
              <w:t>2026</w:t>
            </w:r>
          </w:p>
        </w:tc>
        <w:tc>
          <w:tcPr>
            <w:tcW w:w="1245" w:type="dxa"/>
          </w:tcPr>
          <w:p w14:paraId="3ED2F7B3">
            <w:pPr>
              <w:jc w:val="center"/>
              <w:rPr>
                <w:color w:val="auto"/>
                <w:sz w:val="24"/>
                <w:szCs w:val="24"/>
              </w:rPr>
            </w:pPr>
            <w:r>
              <w:rPr>
                <w:color w:val="auto"/>
                <w:sz w:val="24"/>
                <w:szCs w:val="24"/>
              </w:rPr>
              <w:t>Tiêu chí  5</w:t>
            </w:r>
          </w:p>
        </w:tc>
        <w:tc>
          <w:tcPr>
            <w:tcW w:w="1308" w:type="dxa"/>
          </w:tcPr>
          <w:p w14:paraId="3BFFE2C9">
            <w:pPr>
              <w:jc w:val="center"/>
              <w:rPr>
                <w:color w:val="auto"/>
                <w:sz w:val="24"/>
                <w:szCs w:val="24"/>
              </w:rPr>
            </w:pPr>
          </w:p>
        </w:tc>
        <w:tc>
          <w:tcPr>
            <w:tcW w:w="2410" w:type="dxa"/>
          </w:tcPr>
          <w:p w14:paraId="6CEF76E5">
            <w:pPr>
              <w:ind w:firstLine="284"/>
              <w:jc w:val="both"/>
              <w:rPr>
                <w:color w:val="auto"/>
                <w:sz w:val="24"/>
                <w:szCs w:val="24"/>
              </w:rPr>
            </w:pPr>
            <w:r>
              <w:rPr>
                <w:color w:val="auto"/>
                <w:sz w:val="24"/>
                <w:szCs w:val="24"/>
              </w:rPr>
              <w:t>Nhất trí</w:t>
            </w:r>
          </w:p>
        </w:tc>
      </w:tr>
      <w:tr w14:paraId="6B1446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04" w:type="dxa"/>
          </w:tcPr>
          <w:p w14:paraId="11265846">
            <w:pPr>
              <w:numPr>
                <w:ilvl w:val="0"/>
                <w:numId w:val="4"/>
              </w:numPr>
              <w:tabs>
                <w:tab w:val="left" w:pos="425"/>
              </w:tabs>
              <w:jc w:val="center"/>
              <w:rPr>
                <w:color w:val="auto"/>
                <w:sz w:val="24"/>
                <w:szCs w:val="24"/>
              </w:rPr>
            </w:pPr>
          </w:p>
        </w:tc>
        <w:tc>
          <w:tcPr>
            <w:tcW w:w="1843" w:type="dxa"/>
          </w:tcPr>
          <w:p w14:paraId="181AECFF">
            <w:pPr>
              <w:rPr>
                <w:color w:val="auto"/>
                <w:sz w:val="24"/>
                <w:szCs w:val="24"/>
              </w:rPr>
            </w:pPr>
            <w:r>
              <w:rPr>
                <w:color w:val="auto"/>
                <w:sz w:val="24"/>
                <w:szCs w:val="24"/>
              </w:rPr>
              <w:t>Thông tư số 19/2019/TT-BTTTT ngày 25/12/2019 Quy hoạch băng tần 694-806 MHz cho hệ thống thông tin di động IMT của Việt Nam</w:t>
            </w:r>
          </w:p>
        </w:tc>
        <w:tc>
          <w:tcPr>
            <w:tcW w:w="1417" w:type="dxa"/>
          </w:tcPr>
          <w:p w14:paraId="675E7479">
            <w:pPr>
              <w:ind w:right="149"/>
              <w:jc w:val="both"/>
              <w:rPr>
                <w:color w:val="auto"/>
                <w:sz w:val="24"/>
                <w:szCs w:val="24"/>
              </w:rPr>
            </w:pPr>
            <w:r>
              <w:rPr>
                <w:color w:val="auto"/>
                <w:sz w:val="24"/>
                <w:szCs w:val="24"/>
              </w:rPr>
              <w:t>Tình hình thực tiễn</w:t>
            </w:r>
          </w:p>
        </w:tc>
        <w:tc>
          <w:tcPr>
            <w:tcW w:w="4051" w:type="dxa"/>
          </w:tcPr>
          <w:p w14:paraId="2C782C0A">
            <w:pPr>
              <w:jc w:val="both"/>
              <w:rPr>
                <w:color w:val="auto"/>
                <w:sz w:val="24"/>
                <w:szCs w:val="24"/>
              </w:rPr>
            </w:pPr>
            <w:r>
              <w:rPr>
                <w:color w:val="auto"/>
                <w:sz w:val="24"/>
                <w:szCs w:val="24"/>
              </w:rPr>
              <w:t>Thông tư số 19/2019/TT-BTTTT phân chia băng tần 700 MHz gồm 03 khối B1-B1’ (703-713 MHz và 758-768 MHz), B2-B2’ (713-723 MHz và 768-778 MHz), B3-B3’ (723-733 MHz và 778-788 MHz). Trong đó, khối B1-B1’ và khối B2-B2’ đã được cấp cho Viettel và VNPT thông qua đấu giá trong năm 2025.</w:t>
            </w:r>
            <w:r>
              <w:rPr>
                <w:color w:val="auto"/>
                <w:sz w:val="24"/>
                <w:szCs w:val="24"/>
              </w:rPr>
              <w:br w:type="textWrapping"/>
            </w:r>
            <w:r>
              <w:rPr>
                <w:color w:val="auto"/>
                <w:sz w:val="24"/>
                <w:szCs w:val="24"/>
              </w:rPr>
              <w:t>Thủ tướng Chính phủ phê duyệt Quyết định phân bổ khối băng tần B3-B3’ (723-733 MHz và 778-788 MHz) thuộc băng tần 700 MHz cho mục đích dùng riêng, không dành cho triển khai mạng IMT công cộng.</w:t>
            </w:r>
          </w:p>
          <w:p w14:paraId="1A2DAE72">
            <w:pPr>
              <w:pStyle w:val="15"/>
              <w:spacing w:before="0" w:beforeAutospacing="0" w:after="0" w:afterAutospacing="0"/>
              <w:jc w:val="both"/>
              <w:rPr>
                <w:color w:val="auto"/>
              </w:rPr>
            </w:pPr>
            <w:r>
              <w:rPr>
                <w:color w:val="auto"/>
              </w:rPr>
              <w:t>Do vậy, cần xem xét sửa đổi Điều 2 Thông tư số 19/2019/TT-BTTTT</w:t>
            </w:r>
          </w:p>
        </w:tc>
        <w:tc>
          <w:tcPr>
            <w:tcW w:w="1394" w:type="dxa"/>
          </w:tcPr>
          <w:p w14:paraId="2AF77FF5">
            <w:pPr>
              <w:jc w:val="center"/>
              <w:rPr>
                <w:color w:val="auto"/>
                <w:sz w:val="24"/>
                <w:szCs w:val="24"/>
              </w:rPr>
            </w:pPr>
            <w:r>
              <w:rPr>
                <w:color w:val="auto"/>
                <w:sz w:val="24"/>
                <w:szCs w:val="24"/>
              </w:rPr>
              <w:t>Thông tư sửa đổi, bổ sung</w:t>
            </w:r>
          </w:p>
        </w:tc>
        <w:tc>
          <w:tcPr>
            <w:tcW w:w="1275" w:type="dxa"/>
          </w:tcPr>
          <w:p w14:paraId="51CEDC05">
            <w:pPr>
              <w:jc w:val="center"/>
              <w:rPr>
                <w:color w:val="auto"/>
                <w:sz w:val="24"/>
                <w:szCs w:val="24"/>
              </w:rPr>
            </w:pPr>
            <w:r>
              <w:rPr>
                <w:color w:val="auto"/>
                <w:sz w:val="24"/>
                <w:szCs w:val="24"/>
              </w:rPr>
              <w:t>Theo lộ trình sửa Luật Tần số vô tuyến điện</w:t>
            </w:r>
          </w:p>
        </w:tc>
        <w:tc>
          <w:tcPr>
            <w:tcW w:w="1245" w:type="dxa"/>
          </w:tcPr>
          <w:p w14:paraId="7B3BC46D">
            <w:pPr>
              <w:jc w:val="center"/>
              <w:rPr>
                <w:color w:val="auto"/>
                <w:sz w:val="24"/>
                <w:szCs w:val="24"/>
              </w:rPr>
            </w:pPr>
            <w:r>
              <w:rPr>
                <w:color w:val="auto"/>
                <w:sz w:val="24"/>
                <w:szCs w:val="24"/>
              </w:rPr>
              <w:t xml:space="preserve">Tiêu chí  2.3, </w:t>
            </w:r>
            <w:r>
              <w:rPr>
                <w:rFonts w:hint="default"/>
                <w:color w:val="auto"/>
                <w:sz w:val="24"/>
                <w:szCs w:val="24"/>
                <w:lang w:val="en-US"/>
              </w:rPr>
              <w:t xml:space="preserve">Tiêu chí </w:t>
            </w:r>
            <w:r>
              <w:rPr>
                <w:color w:val="auto"/>
                <w:sz w:val="24"/>
                <w:szCs w:val="24"/>
              </w:rPr>
              <w:t>5</w:t>
            </w:r>
          </w:p>
        </w:tc>
        <w:tc>
          <w:tcPr>
            <w:tcW w:w="1308" w:type="dxa"/>
          </w:tcPr>
          <w:p w14:paraId="3FD89767">
            <w:pPr>
              <w:jc w:val="center"/>
              <w:rPr>
                <w:color w:val="auto"/>
                <w:sz w:val="24"/>
                <w:szCs w:val="24"/>
              </w:rPr>
            </w:pPr>
            <w:r>
              <w:rPr>
                <w:color w:val="auto"/>
                <w:sz w:val="24"/>
                <w:szCs w:val="24"/>
              </w:rPr>
              <w:t>Đã cập nhật theo ý kiến thẩm định</w:t>
            </w:r>
          </w:p>
        </w:tc>
        <w:tc>
          <w:tcPr>
            <w:tcW w:w="2410" w:type="dxa"/>
          </w:tcPr>
          <w:p w14:paraId="1E26FFCF">
            <w:pPr>
              <w:ind w:firstLine="284"/>
              <w:jc w:val="both"/>
              <w:rPr>
                <w:color w:val="auto"/>
                <w:sz w:val="24"/>
                <w:szCs w:val="24"/>
              </w:rPr>
            </w:pPr>
            <w:r>
              <w:rPr>
                <w:color w:val="auto"/>
                <w:sz w:val="24"/>
                <w:szCs w:val="24"/>
              </w:rPr>
              <w:t>Cần làm rõ, hoàn thiện thêm các nội dung, quy định cần xử lý tại văn bản.</w:t>
            </w:r>
          </w:p>
        </w:tc>
      </w:tr>
      <w:tr w14:paraId="6219A2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04" w:type="dxa"/>
          </w:tcPr>
          <w:p w14:paraId="00B9102B">
            <w:pPr>
              <w:numPr>
                <w:ilvl w:val="0"/>
                <w:numId w:val="4"/>
              </w:numPr>
              <w:tabs>
                <w:tab w:val="left" w:pos="425"/>
              </w:tabs>
              <w:jc w:val="center"/>
              <w:rPr>
                <w:color w:val="auto"/>
                <w:sz w:val="24"/>
                <w:szCs w:val="24"/>
              </w:rPr>
            </w:pPr>
          </w:p>
        </w:tc>
        <w:tc>
          <w:tcPr>
            <w:tcW w:w="1843" w:type="dxa"/>
          </w:tcPr>
          <w:p w14:paraId="610FEEDF">
            <w:pPr>
              <w:tabs>
                <w:tab w:val="left" w:pos="3826"/>
                <w:tab w:val="right" w:pos="8640"/>
              </w:tabs>
              <w:ind w:right="-49"/>
              <w:jc w:val="both"/>
              <w:rPr>
                <w:color w:val="auto"/>
                <w:sz w:val="24"/>
                <w:szCs w:val="24"/>
              </w:rPr>
            </w:pPr>
            <w:r>
              <w:rPr>
                <w:color w:val="auto"/>
                <w:sz w:val="24"/>
                <w:szCs w:val="24"/>
              </w:rPr>
              <w:t>Thông tư số 18/2020/TT-BTTTT ngày 20/8/2020 của Bộ trưởng Bộ Thông tin và Truyền thông về quy hoạch băng tần 2300-2400 MHz và băng tần 2500-2690 MHz cho hệ thống thông tin di động IMT của Việt Nam</w:t>
            </w:r>
          </w:p>
        </w:tc>
        <w:tc>
          <w:tcPr>
            <w:tcW w:w="1417" w:type="dxa"/>
          </w:tcPr>
          <w:p w14:paraId="45FDA557">
            <w:pPr>
              <w:tabs>
                <w:tab w:val="right" w:pos="8640"/>
              </w:tabs>
              <w:jc w:val="both"/>
              <w:rPr>
                <w:color w:val="auto"/>
                <w:sz w:val="24"/>
                <w:szCs w:val="24"/>
              </w:rPr>
            </w:pPr>
            <w:r>
              <w:rPr>
                <w:color w:val="auto"/>
                <w:sz w:val="24"/>
                <w:szCs w:val="24"/>
              </w:rPr>
              <w:t>Quyết định số 37/2025/QĐ-TTg ngày 03/10/2025 của Thủ tướng Chính phủ ban hành Quy hoạch phổ tần số vô tuyến điện quốc gia</w:t>
            </w:r>
          </w:p>
        </w:tc>
        <w:tc>
          <w:tcPr>
            <w:tcW w:w="4051" w:type="dxa"/>
          </w:tcPr>
          <w:p w14:paraId="59AE7648">
            <w:pPr>
              <w:tabs>
                <w:tab w:val="left" w:pos="3826"/>
                <w:tab w:val="right" w:pos="8640"/>
              </w:tabs>
              <w:ind w:right="-49"/>
              <w:jc w:val="both"/>
              <w:rPr>
                <w:color w:val="auto"/>
                <w:sz w:val="24"/>
                <w:szCs w:val="24"/>
              </w:rPr>
            </w:pPr>
            <w:r>
              <w:rPr>
                <w:color w:val="auto"/>
                <w:sz w:val="24"/>
                <w:szCs w:val="24"/>
              </w:rPr>
              <w:t xml:space="preserve">Nội dung quy định về băng tần dành cho IMT tại khoản 2 Điều 2 không phù hợp với quy định tại VTN9 Quy hoạch phổ tần số VTĐ quốc gia ban hành kèm theo Quyết định số 37/2025/QĐ-TTg. </w:t>
            </w:r>
          </w:p>
          <w:p w14:paraId="0495CE68">
            <w:pPr>
              <w:tabs>
                <w:tab w:val="left" w:pos="3826"/>
                <w:tab w:val="right" w:pos="8640"/>
              </w:tabs>
              <w:ind w:right="-49"/>
              <w:jc w:val="both"/>
              <w:rPr>
                <w:color w:val="auto"/>
                <w:sz w:val="24"/>
                <w:szCs w:val="24"/>
              </w:rPr>
            </w:pPr>
            <w:r>
              <w:rPr>
                <w:color w:val="auto"/>
                <w:sz w:val="24"/>
                <w:szCs w:val="24"/>
              </w:rPr>
              <w:t>Do vậy, cần xem xét sửa đổi điểm c, Điều 2 của Thông tư số 12/2023/TT-BTTTT.</w:t>
            </w:r>
          </w:p>
        </w:tc>
        <w:tc>
          <w:tcPr>
            <w:tcW w:w="1394" w:type="dxa"/>
          </w:tcPr>
          <w:p w14:paraId="5074412F">
            <w:pPr>
              <w:jc w:val="center"/>
              <w:rPr>
                <w:color w:val="auto"/>
                <w:sz w:val="24"/>
                <w:szCs w:val="24"/>
              </w:rPr>
            </w:pPr>
            <w:r>
              <w:rPr>
                <w:color w:val="auto"/>
                <w:sz w:val="24"/>
                <w:szCs w:val="24"/>
              </w:rPr>
              <w:t>Thông tư sửa đổi, bổ sung</w:t>
            </w:r>
          </w:p>
        </w:tc>
        <w:tc>
          <w:tcPr>
            <w:tcW w:w="1275" w:type="dxa"/>
          </w:tcPr>
          <w:p w14:paraId="14A932ED">
            <w:pPr>
              <w:jc w:val="center"/>
              <w:rPr>
                <w:color w:val="auto"/>
                <w:sz w:val="24"/>
                <w:szCs w:val="24"/>
              </w:rPr>
            </w:pPr>
            <w:r>
              <w:rPr>
                <w:rFonts w:hint="default"/>
                <w:color w:val="auto"/>
                <w:sz w:val="24"/>
                <w:szCs w:val="24"/>
                <w:lang w:val="en-US"/>
              </w:rPr>
              <w:t>Tháng 12/</w:t>
            </w:r>
            <w:r>
              <w:rPr>
                <w:color w:val="auto"/>
                <w:sz w:val="24"/>
                <w:szCs w:val="24"/>
              </w:rPr>
              <w:t>2026</w:t>
            </w:r>
          </w:p>
        </w:tc>
        <w:tc>
          <w:tcPr>
            <w:tcW w:w="1245" w:type="dxa"/>
          </w:tcPr>
          <w:p w14:paraId="7CCF1E3D">
            <w:pPr>
              <w:jc w:val="center"/>
              <w:rPr>
                <w:color w:val="auto"/>
                <w:sz w:val="24"/>
                <w:szCs w:val="24"/>
              </w:rPr>
            </w:pPr>
            <w:r>
              <w:rPr>
                <w:color w:val="auto"/>
                <w:sz w:val="24"/>
                <w:szCs w:val="24"/>
              </w:rPr>
              <w:t>Tiêu chí  2.3</w:t>
            </w:r>
          </w:p>
        </w:tc>
        <w:tc>
          <w:tcPr>
            <w:tcW w:w="1308" w:type="dxa"/>
          </w:tcPr>
          <w:p w14:paraId="4DB60172">
            <w:pPr>
              <w:jc w:val="center"/>
              <w:rPr>
                <w:color w:val="auto"/>
                <w:sz w:val="24"/>
                <w:szCs w:val="24"/>
              </w:rPr>
            </w:pPr>
            <w:r>
              <w:rPr>
                <w:color w:val="auto"/>
                <w:sz w:val="24"/>
                <w:szCs w:val="24"/>
              </w:rPr>
              <w:t>Đã cập nhật theo ý kiến thẩm định</w:t>
            </w:r>
          </w:p>
        </w:tc>
        <w:tc>
          <w:tcPr>
            <w:tcW w:w="2410" w:type="dxa"/>
          </w:tcPr>
          <w:p w14:paraId="4B6863A1">
            <w:pPr>
              <w:ind w:firstLine="284"/>
              <w:jc w:val="both"/>
              <w:rPr>
                <w:color w:val="auto"/>
                <w:sz w:val="24"/>
                <w:szCs w:val="24"/>
              </w:rPr>
            </w:pPr>
            <w:r>
              <w:rPr>
                <w:color w:val="auto"/>
                <w:sz w:val="24"/>
                <w:szCs w:val="24"/>
              </w:rPr>
              <w:t>- Nhất trí</w:t>
            </w:r>
          </w:p>
          <w:p w14:paraId="478CACB0">
            <w:pPr>
              <w:ind w:firstLine="284"/>
              <w:jc w:val="both"/>
              <w:rPr>
                <w:color w:val="auto"/>
                <w:sz w:val="24"/>
                <w:szCs w:val="24"/>
              </w:rPr>
            </w:pPr>
            <w:r>
              <w:rPr>
                <w:color w:val="auto"/>
                <w:sz w:val="24"/>
                <w:szCs w:val="24"/>
              </w:rPr>
              <w:t>- Chỉnh lý tên văn bản làm căn cứ rà soát cho đầy đủ.</w:t>
            </w:r>
          </w:p>
        </w:tc>
      </w:tr>
      <w:tr w14:paraId="7491B0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04" w:type="dxa"/>
          </w:tcPr>
          <w:p w14:paraId="64076BAC">
            <w:pPr>
              <w:numPr>
                <w:ilvl w:val="0"/>
                <w:numId w:val="4"/>
              </w:numPr>
              <w:tabs>
                <w:tab w:val="left" w:pos="425"/>
              </w:tabs>
              <w:jc w:val="center"/>
              <w:rPr>
                <w:color w:val="auto"/>
                <w:sz w:val="24"/>
                <w:szCs w:val="24"/>
              </w:rPr>
            </w:pPr>
          </w:p>
        </w:tc>
        <w:tc>
          <w:tcPr>
            <w:tcW w:w="1843" w:type="dxa"/>
          </w:tcPr>
          <w:p w14:paraId="7720E0CA">
            <w:pPr>
              <w:tabs>
                <w:tab w:val="right" w:pos="8640"/>
              </w:tabs>
              <w:jc w:val="both"/>
              <w:rPr>
                <w:color w:val="auto"/>
                <w:sz w:val="24"/>
                <w:szCs w:val="24"/>
              </w:rPr>
            </w:pPr>
            <w:r>
              <w:rPr>
                <w:color w:val="auto"/>
                <w:sz w:val="24"/>
                <w:szCs w:val="24"/>
              </w:rPr>
              <w:t>Thông tư số 29/2021/TT-</w:t>
            </w:r>
          </w:p>
          <w:p w14:paraId="6572172F">
            <w:pPr>
              <w:tabs>
                <w:tab w:val="right" w:pos="8640"/>
              </w:tabs>
              <w:jc w:val="both"/>
              <w:rPr>
                <w:color w:val="auto"/>
                <w:sz w:val="24"/>
                <w:szCs w:val="24"/>
              </w:rPr>
            </w:pPr>
            <w:r>
              <w:rPr>
                <w:color w:val="auto"/>
                <w:sz w:val="24"/>
                <w:szCs w:val="24"/>
              </w:rPr>
              <w:t>BTTTT ngày 31/12/2021 về quy hoạch băng tần 2300- 2400 MHz cho hệ thống thông tin di động IMT của Việt Nam</w:t>
            </w:r>
          </w:p>
        </w:tc>
        <w:tc>
          <w:tcPr>
            <w:tcW w:w="1417" w:type="dxa"/>
          </w:tcPr>
          <w:p w14:paraId="3D274477">
            <w:pPr>
              <w:tabs>
                <w:tab w:val="right" w:pos="8640"/>
              </w:tabs>
              <w:ind w:left="1" w:right="141"/>
              <w:jc w:val="both"/>
              <w:rPr>
                <w:color w:val="auto"/>
                <w:sz w:val="24"/>
                <w:szCs w:val="24"/>
              </w:rPr>
            </w:pPr>
            <w:r>
              <w:rPr>
                <w:color w:val="auto"/>
                <w:sz w:val="24"/>
                <w:szCs w:val="24"/>
              </w:rPr>
              <w:t>Quyết định số 37/2025/QĐ-TTg</w:t>
            </w:r>
          </w:p>
        </w:tc>
        <w:tc>
          <w:tcPr>
            <w:tcW w:w="4051" w:type="dxa"/>
          </w:tcPr>
          <w:p w14:paraId="00672A4E">
            <w:pPr>
              <w:tabs>
                <w:tab w:val="right" w:pos="8640"/>
              </w:tabs>
              <w:jc w:val="both"/>
              <w:rPr>
                <w:color w:val="auto"/>
                <w:sz w:val="24"/>
                <w:szCs w:val="24"/>
              </w:rPr>
            </w:pPr>
            <w:r>
              <w:rPr>
                <w:color w:val="auto"/>
                <w:sz w:val="24"/>
                <w:szCs w:val="24"/>
              </w:rPr>
              <w:t xml:space="preserve">Nội dung quy định về băng tần dành cho IMT tại Điều 2 không phù hợp với quy định tại VTN9 Quy hoạch phổ tần số VTĐ quốc gia ban hành kèm theo Quyết định số 37/2025/QĐ-TTg ngày 03/10/2025 của Thủ tướng Chính phủ, cụ thể: </w:t>
            </w:r>
          </w:p>
          <w:p w14:paraId="33BB6240">
            <w:pPr>
              <w:tabs>
                <w:tab w:val="right" w:pos="8640"/>
              </w:tabs>
              <w:jc w:val="both"/>
              <w:rPr>
                <w:color w:val="auto"/>
                <w:sz w:val="24"/>
                <w:szCs w:val="24"/>
              </w:rPr>
            </w:pPr>
            <w:r>
              <w:rPr>
                <w:color w:val="auto"/>
                <w:sz w:val="24"/>
                <w:szCs w:val="24"/>
              </w:rPr>
              <w:t>Thông tư 29/2021/TT-BTTTT phân chia băng tần 2300 MHz (100 MHz) thành 03 khối băng tần A1 (2300-2330 MHz), A2 (2330-2360 MHz), A3 (2360-2390 MHz) dành cho hệ thống IMT, 10 MHz (2390-2400 MHz) làm băng tần bảo vệ.</w:t>
            </w:r>
          </w:p>
          <w:p w14:paraId="5094DB0C">
            <w:pPr>
              <w:tabs>
                <w:tab w:val="right" w:pos="8640"/>
              </w:tabs>
              <w:jc w:val="both"/>
              <w:rPr>
                <w:color w:val="auto"/>
                <w:sz w:val="24"/>
                <w:szCs w:val="24"/>
              </w:rPr>
            </w:pPr>
            <w:r>
              <w:rPr>
                <w:color w:val="auto"/>
                <w:sz w:val="24"/>
                <w:szCs w:val="24"/>
              </w:rPr>
              <w:t>Thủ tướng Chính phủ đã phê duyệt Quyết định điều chỉnh phân bổ đoạn băng tần 2350-2400 MHz cho mục đích khác. Đồng thời, Quy hoạch phổ TSVTĐ quốc gia đã được sửa đổi, không còn quy định đoạn băng tần này dành cho IMT.</w:t>
            </w:r>
          </w:p>
          <w:p w14:paraId="5A38B267">
            <w:pPr>
              <w:tabs>
                <w:tab w:val="right" w:pos="8640"/>
              </w:tabs>
              <w:jc w:val="both"/>
              <w:rPr>
                <w:color w:val="auto"/>
                <w:sz w:val="24"/>
                <w:szCs w:val="24"/>
              </w:rPr>
            </w:pPr>
            <w:r>
              <w:rPr>
                <w:color w:val="auto"/>
                <w:sz w:val="24"/>
                <w:szCs w:val="24"/>
              </w:rPr>
              <w:t>Do vậy, nội dung quy hoạch tại Thông tư 29/2021/TT-BTTTT không còn phù hợp với Quy hoạch phổ TSVTĐ quốc gia, và Quyết định phân bổ băng tần của Thủ tướng Chính phủ.</w:t>
            </w:r>
          </w:p>
        </w:tc>
        <w:tc>
          <w:tcPr>
            <w:tcW w:w="1394" w:type="dxa"/>
          </w:tcPr>
          <w:p w14:paraId="5DBB31F5">
            <w:pPr>
              <w:jc w:val="center"/>
              <w:rPr>
                <w:color w:val="auto"/>
                <w:sz w:val="24"/>
                <w:szCs w:val="24"/>
              </w:rPr>
            </w:pPr>
            <w:r>
              <w:rPr>
                <w:color w:val="auto"/>
                <w:sz w:val="24"/>
                <w:szCs w:val="24"/>
              </w:rPr>
              <w:t>Thông tư sửa đổi, bổ sung</w:t>
            </w:r>
          </w:p>
        </w:tc>
        <w:tc>
          <w:tcPr>
            <w:tcW w:w="1275" w:type="dxa"/>
          </w:tcPr>
          <w:p w14:paraId="725823D9">
            <w:pPr>
              <w:jc w:val="center"/>
              <w:rPr>
                <w:color w:val="auto"/>
                <w:sz w:val="24"/>
                <w:szCs w:val="24"/>
              </w:rPr>
            </w:pPr>
            <w:r>
              <w:rPr>
                <w:rFonts w:hint="default"/>
                <w:color w:val="auto"/>
                <w:sz w:val="24"/>
                <w:szCs w:val="24"/>
                <w:lang w:val="en-US"/>
              </w:rPr>
              <w:t>Tháng 12/</w:t>
            </w:r>
            <w:r>
              <w:rPr>
                <w:color w:val="auto"/>
                <w:sz w:val="24"/>
                <w:szCs w:val="24"/>
              </w:rPr>
              <w:t>2026</w:t>
            </w:r>
          </w:p>
        </w:tc>
        <w:tc>
          <w:tcPr>
            <w:tcW w:w="1245" w:type="dxa"/>
          </w:tcPr>
          <w:p w14:paraId="11C2905C">
            <w:pPr>
              <w:jc w:val="center"/>
              <w:rPr>
                <w:color w:val="auto"/>
                <w:sz w:val="24"/>
                <w:szCs w:val="24"/>
              </w:rPr>
            </w:pPr>
            <w:r>
              <w:rPr>
                <w:color w:val="auto"/>
                <w:sz w:val="24"/>
                <w:szCs w:val="24"/>
              </w:rPr>
              <w:t>Tiêu chí  2</w:t>
            </w:r>
          </w:p>
        </w:tc>
        <w:tc>
          <w:tcPr>
            <w:tcW w:w="1308" w:type="dxa"/>
          </w:tcPr>
          <w:p w14:paraId="13EB06C9">
            <w:pPr>
              <w:jc w:val="center"/>
              <w:rPr>
                <w:color w:val="auto"/>
                <w:sz w:val="24"/>
                <w:szCs w:val="24"/>
              </w:rPr>
            </w:pPr>
            <w:r>
              <w:rPr>
                <w:color w:val="auto"/>
                <w:sz w:val="24"/>
                <w:szCs w:val="24"/>
              </w:rPr>
              <w:t>Đã cập nhật theo ý kiến thẩm định</w:t>
            </w:r>
          </w:p>
        </w:tc>
        <w:tc>
          <w:tcPr>
            <w:tcW w:w="2410" w:type="dxa"/>
          </w:tcPr>
          <w:p w14:paraId="0E7DF10A">
            <w:pPr>
              <w:ind w:firstLine="284"/>
              <w:jc w:val="both"/>
              <w:rPr>
                <w:color w:val="auto"/>
                <w:sz w:val="24"/>
                <w:szCs w:val="24"/>
              </w:rPr>
            </w:pPr>
            <w:r>
              <w:rPr>
                <w:color w:val="auto"/>
                <w:sz w:val="24"/>
                <w:szCs w:val="24"/>
              </w:rPr>
              <w:t>- Nhất trí</w:t>
            </w:r>
          </w:p>
          <w:p w14:paraId="2424B099">
            <w:pPr>
              <w:ind w:firstLine="284"/>
              <w:jc w:val="both"/>
              <w:rPr>
                <w:color w:val="auto"/>
                <w:sz w:val="24"/>
                <w:szCs w:val="24"/>
              </w:rPr>
            </w:pPr>
            <w:r>
              <w:rPr>
                <w:color w:val="auto"/>
                <w:sz w:val="24"/>
                <w:szCs w:val="24"/>
              </w:rPr>
              <w:t>- Chỉnh lý tên văn bản làm căn cứ rà soát cho đầy đủ.</w:t>
            </w:r>
          </w:p>
        </w:tc>
      </w:tr>
      <w:tr w14:paraId="0BEEAD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04" w:type="dxa"/>
          </w:tcPr>
          <w:p w14:paraId="4F1F031C">
            <w:pPr>
              <w:numPr>
                <w:ilvl w:val="0"/>
                <w:numId w:val="4"/>
              </w:numPr>
              <w:tabs>
                <w:tab w:val="left" w:pos="425"/>
              </w:tabs>
              <w:jc w:val="center"/>
              <w:rPr>
                <w:color w:val="auto"/>
                <w:sz w:val="24"/>
                <w:szCs w:val="24"/>
              </w:rPr>
            </w:pPr>
          </w:p>
        </w:tc>
        <w:tc>
          <w:tcPr>
            <w:tcW w:w="1843" w:type="dxa"/>
          </w:tcPr>
          <w:p w14:paraId="55FE0C4C">
            <w:pPr>
              <w:rPr>
                <w:color w:val="auto"/>
                <w:sz w:val="24"/>
                <w:szCs w:val="24"/>
              </w:rPr>
            </w:pPr>
            <w:r>
              <w:rPr>
                <w:color w:val="auto"/>
                <w:sz w:val="24"/>
                <w:szCs w:val="24"/>
              </w:rPr>
              <w:t>Thông tư số 12/2023/TT-BTTTT ngày 10/10/2023 Quy hoạch băng tần 1920-1980 MHz và 2110-2170 MHz cho hệ thống thông tin di động IMT của Việt Nam</w:t>
            </w:r>
          </w:p>
        </w:tc>
        <w:tc>
          <w:tcPr>
            <w:tcW w:w="1417" w:type="dxa"/>
          </w:tcPr>
          <w:p w14:paraId="1234647F">
            <w:pPr>
              <w:jc w:val="both"/>
              <w:rPr>
                <w:color w:val="auto"/>
                <w:sz w:val="24"/>
                <w:szCs w:val="24"/>
              </w:rPr>
            </w:pPr>
            <w:r>
              <w:rPr>
                <w:color w:val="auto"/>
                <w:sz w:val="24"/>
                <w:szCs w:val="24"/>
              </w:rPr>
              <w:t>Tình hình thực tiễn</w:t>
            </w:r>
          </w:p>
        </w:tc>
        <w:tc>
          <w:tcPr>
            <w:tcW w:w="4051" w:type="dxa"/>
          </w:tcPr>
          <w:p w14:paraId="488F4446">
            <w:pPr>
              <w:jc w:val="both"/>
              <w:rPr>
                <w:color w:val="auto"/>
                <w:sz w:val="24"/>
                <w:szCs w:val="24"/>
              </w:rPr>
            </w:pPr>
            <w:r>
              <w:rPr>
                <w:color w:val="auto"/>
                <w:sz w:val="24"/>
                <w:szCs w:val="24"/>
              </w:rPr>
              <w:t>Hiện nay Nhà nước có chủ trương cấu trúc lại nhiều doanh nghiệp, có thể có các trường hợp sáp nhập, hợp nhất dẫn đến việc giảm số doanh nghiệp tham gia thị trường. Khi đó, với hiện trạng đã cấp và quy định giới hạn tối đa lượng băng tần mà doanh nghiệp được cấp phép hiện hành trong băng tần 1800 MHz, 2100 MHz, doanh nghiệp còn lại trong băng tần 2100 MHz hoặc 1800 MHz không tiếp cận được với phổ tần mà doanh nghiệp khác để lại. Như vậy, quy định về mức CAP trong quy hoạch băng tần 2100 MHz theo Thông tư 12/2023/TT-BTTTT không phù hợp trong trường hợp sáp nhập, hợp nhất làm giảm doanh nghiệp tham gia thị trường.</w:t>
            </w:r>
          </w:p>
          <w:p w14:paraId="16D1039E">
            <w:pPr>
              <w:pStyle w:val="15"/>
              <w:spacing w:before="0" w:beforeAutospacing="0" w:after="0" w:afterAutospacing="0"/>
              <w:jc w:val="both"/>
              <w:rPr>
                <w:color w:val="auto"/>
              </w:rPr>
            </w:pPr>
            <w:r>
              <w:rPr>
                <w:color w:val="auto"/>
              </w:rPr>
              <w:t>Do vậy, cần xem xét sửa đổi điểm c, Điều 2 của Thông tư số 12/2023/TT- BTTTT.</w:t>
            </w:r>
          </w:p>
        </w:tc>
        <w:tc>
          <w:tcPr>
            <w:tcW w:w="1394" w:type="dxa"/>
          </w:tcPr>
          <w:p w14:paraId="6A4BAC26">
            <w:pPr>
              <w:jc w:val="center"/>
              <w:rPr>
                <w:color w:val="auto"/>
                <w:sz w:val="24"/>
                <w:szCs w:val="24"/>
              </w:rPr>
            </w:pPr>
            <w:r>
              <w:rPr>
                <w:color w:val="auto"/>
                <w:sz w:val="24"/>
                <w:szCs w:val="24"/>
              </w:rPr>
              <w:t>Thông tư sửa đổi, bổ sung</w:t>
            </w:r>
          </w:p>
        </w:tc>
        <w:tc>
          <w:tcPr>
            <w:tcW w:w="1275" w:type="dxa"/>
          </w:tcPr>
          <w:p w14:paraId="2EE127B8">
            <w:pPr>
              <w:jc w:val="center"/>
              <w:rPr>
                <w:color w:val="auto"/>
                <w:sz w:val="24"/>
                <w:szCs w:val="24"/>
              </w:rPr>
            </w:pPr>
            <w:r>
              <w:rPr>
                <w:rFonts w:hint="default"/>
                <w:color w:val="auto"/>
                <w:sz w:val="24"/>
                <w:szCs w:val="24"/>
                <w:lang w:val="en-US"/>
              </w:rPr>
              <w:t>Tháng 12/</w:t>
            </w:r>
            <w:r>
              <w:rPr>
                <w:color w:val="auto"/>
                <w:sz w:val="24"/>
                <w:szCs w:val="24"/>
              </w:rPr>
              <w:t>2026</w:t>
            </w:r>
          </w:p>
        </w:tc>
        <w:tc>
          <w:tcPr>
            <w:tcW w:w="1245" w:type="dxa"/>
          </w:tcPr>
          <w:p w14:paraId="4A6D8F3D">
            <w:pPr>
              <w:jc w:val="center"/>
              <w:rPr>
                <w:color w:val="auto"/>
                <w:sz w:val="24"/>
                <w:szCs w:val="24"/>
              </w:rPr>
            </w:pPr>
            <w:r>
              <w:rPr>
                <w:color w:val="auto"/>
                <w:sz w:val="24"/>
                <w:szCs w:val="24"/>
              </w:rPr>
              <w:t>Tiêu chí 2</w:t>
            </w:r>
          </w:p>
        </w:tc>
        <w:tc>
          <w:tcPr>
            <w:tcW w:w="1308" w:type="dxa"/>
          </w:tcPr>
          <w:p w14:paraId="17153EDB">
            <w:pPr>
              <w:jc w:val="center"/>
              <w:rPr>
                <w:color w:val="auto"/>
                <w:sz w:val="24"/>
                <w:szCs w:val="24"/>
              </w:rPr>
            </w:pPr>
            <w:r>
              <w:rPr>
                <w:color w:val="auto"/>
                <w:sz w:val="24"/>
                <w:szCs w:val="24"/>
              </w:rPr>
              <w:t>Đã cập nhật theo ý kiến thẩm định</w:t>
            </w:r>
          </w:p>
        </w:tc>
        <w:tc>
          <w:tcPr>
            <w:tcW w:w="2410" w:type="dxa"/>
          </w:tcPr>
          <w:p w14:paraId="568A6556">
            <w:pPr>
              <w:ind w:firstLine="284"/>
              <w:jc w:val="both"/>
              <w:rPr>
                <w:color w:val="auto"/>
                <w:sz w:val="24"/>
                <w:szCs w:val="24"/>
              </w:rPr>
            </w:pPr>
            <w:r>
              <w:rPr>
                <w:color w:val="auto"/>
                <w:sz w:val="24"/>
                <w:szCs w:val="24"/>
              </w:rPr>
              <w:t>- Cần làm rõ, hoàn thiện thêm các nội dung, quy định cần xử lý tại văn bản.</w:t>
            </w:r>
          </w:p>
          <w:p w14:paraId="5D1A9508">
            <w:pPr>
              <w:ind w:firstLine="284"/>
              <w:jc w:val="both"/>
              <w:rPr>
                <w:color w:val="auto"/>
                <w:sz w:val="24"/>
                <w:szCs w:val="24"/>
              </w:rPr>
            </w:pPr>
            <w:r>
              <w:rPr>
                <w:color w:val="auto"/>
                <w:sz w:val="24"/>
                <w:szCs w:val="24"/>
              </w:rPr>
              <w:t>- Cần xác định Tiêu chí rà soát.</w:t>
            </w:r>
          </w:p>
          <w:p w14:paraId="47E0D8B9">
            <w:pPr>
              <w:ind w:firstLine="284"/>
              <w:jc w:val="both"/>
              <w:rPr>
                <w:color w:val="auto"/>
                <w:sz w:val="24"/>
                <w:szCs w:val="24"/>
              </w:rPr>
            </w:pPr>
          </w:p>
        </w:tc>
      </w:tr>
      <w:tr w14:paraId="7B6FC1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3237" w:type="dxa"/>
            <w:gridSpan w:val="8"/>
          </w:tcPr>
          <w:p w14:paraId="0DE7E0F3">
            <w:pPr>
              <w:pStyle w:val="3"/>
              <w:ind w:firstLine="284"/>
              <w:rPr>
                <w:color w:val="auto"/>
                <w:sz w:val="24"/>
                <w:szCs w:val="24"/>
              </w:rPr>
            </w:pPr>
            <w:r>
              <w:rPr>
                <w:color w:val="auto"/>
                <w:sz w:val="24"/>
                <w:szCs w:val="24"/>
              </w:rPr>
              <w:t>V. LĨNH VỰC NĂNG LƯỢNG NGUYÊN TỬ</w:t>
            </w:r>
          </w:p>
          <w:p w14:paraId="170B6F54">
            <w:pPr>
              <w:rPr>
                <w:color w:val="auto"/>
              </w:rPr>
            </w:pPr>
            <w:r>
              <w:rPr>
                <w:color w:val="auto"/>
                <w:sz w:val="24"/>
                <w:szCs w:val="24"/>
                <w:lang w:val="en-US"/>
              </w:rPr>
              <w:t>Chuyển Cục An toàn bức xạ và hạt nhân nghiên cứu ý kiến của Bộ Tư pháp</w:t>
            </w:r>
          </w:p>
        </w:tc>
        <w:tc>
          <w:tcPr>
            <w:tcW w:w="2410" w:type="dxa"/>
          </w:tcPr>
          <w:p w14:paraId="45D4C47C">
            <w:pPr>
              <w:pStyle w:val="3"/>
              <w:ind w:firstLine="284"/>
              <w:jc w:val="both"/>
              <w:rPr>
                <w:color w:val="auto"/>
                <w:sz w:val="24"/>
                <w:szCs w:val="24"/>
              </w:rPr>
            </w:pPr>
          </w:p>
        </w:tc>
      </w:tr>
      <w:tr w14:paraId="6DAF61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80" w:hRule="atLeast"/>
          <w:jc w:val="center"/>
        </w:trPr>
        <w:tc>
          <w:tcPr>
            <w:tcW w:w="704" w:type="dxa"/>
            <w:vMerge w:val="restart"/>
          </w:tcPr>
          <w:p w14:paraId="7123E05B">
            <w:pPr>
              <w:numPr>
                <w:ilvl w:val="0"/>
                <w:numId w:val="5"/>
              </w:numPr>
              <w:tabs>
                <w:tab w:val="left" w:pos="425"/>
              </w:tabs>
              <w:jc w:val="center"/>
              <w:rPr>
                <w:color w:val="auto"/>
                <w:sz w:val="24"/>
                <w:szCs w:val="24"/>
              </w:rPr>
            </w:pPr>
          </w:p>
        </w:tc>
        <w:tc>
          <w:tcPr>
            <w:tcW w:w="1843" w:type="dxa"/>
            <w:vMerge w:val="restart"/>
          </w:tcPr>
          <w:p w14:paraId="62EDB585">
            <w:pPr>
              <w:jc w:val="both"/>
              <w:rPr>
                <w:color w:val="auto"/>
                <w:sz w:val="24"/>
                <w:szCs w:val="24"/>
              </w:rPr>
            </w:pPr>
            <w:r>
              <w:rPr>
                <w:color w:val="auto"/>
                <w:sz w:val="24"/>
                <w:szCs w:val="24"/>
              </w:rPr>
              <w:t xml:space="preserve">Nghị định số 332/2025/NĐ-CP ngày 18/12/2025 của Chính phủ quy định chi tiết và biện pháp thi hành một số điều của Luật Năng lượng nguyên tử về bảo đảm an toàn bức xạ, an toàn, an ninh, thanh sát hạt nhân, thông báo, khai báo, cấp phép, thanh tra, kiểm tra về an toàn bức xạ và hạt nhân, ứng phó sự cố bức xạ, sự cố hạt nhân và bồi thường thiệt hại hạt nhân </w:t>
            </w:r>
          </w:p>
        </w:tc>
        <w:tc>
          <w:tcPr>
            <w:tcW w:w="1417" w:type="dxa"/>
          </w:tcPr>
          <w:p w14:paraId="45A7D4AB">
            <w:pPr>
              <w:tabs>
                <w:tab w:val="right" w:pos="8640"/>
              </w:tabs>
              <w:jc w:val="both"/>
              <w:rPr>
                <w:color w:val="auto"/>
                <w:sz w:val="24"/>
                <w:szCs w:val="24"/>
              </w:rPr>
            </w:pPr>
            <w:r>
              <w:rPr>
                <w:color w:val="auto"/>
                <w:sz w:val="24"/>
                <w:szCs w:val="24"/>
              </w:rPr>
              <w:t>Cải cách thủ tục hành chính theo Nghị quyết số 20/2026/NQ-CP ngày 29/4/2026 của Chính phủ về phân cấp, cắt giảm, đơn giản hóa thủ tục hành chính, điều kiện kinh doanh thuộc phạm vi quản lý nhà nước của Bộ Khoa học và Công nghệ</w:t>
            </w:r>
          </w:p>
        </w:tc>
        <w:tc>
          <w:tcPr>
            <w:tcW w:w="4051" w:type="dxa"/>
          </w:tcPr>
          <w:p w14:paraId="79028EC9">
            <w:pPr>
              <w:pStyle w:val="15"/>
              <w:spacing w:before="0" w:beforeAutospacing="0" w:after="0" w:afterAutospacing="0"/>
              <w:jc w:val="both"/>
              <w:rPr>
                <w:color w:val="auto"/>
              </w:rPr>
            </w:pPr>
            <w:r>
              <w:rPr>
                <w:color w:val="auto"/>
              </w:rPr>
              <w:t>Để phù hợp với đề xuất phân cấp và quy định tại Nghị quyết 20/2026/NQ-CP, một số nội dung của Nghị định 332/2025/NĐ-CP cần sửa đổi, cụ thể sửa đổi để đơn giản hóa TTHC như sau:</w:t>
            </w:r>
          </w:p>
          <w:p w14:paraId="3361FD3F">
            <w:pPr>
              <w:pStyle w:val="15"/>
              <w:spacing w:before="0" w:beforeAutospacing="0" w:after="0" w:afterAutospacing="0"/>
              <w:jc w:val="both"/>
              <w:rPr>
                <w:color w:val="auto"/>
              </w:rPr>
            </w:pPr>
            <w:r>
              <w:rPr>
                <w:color w:val="auto"/>
              </w:rPr>
              <w:t>Bãi bỏ 02 Điều: Điều 26 và Điều 40 về thủ tục sử dụng và vận chuyển nguồn phóng xạ di động;</w:t>
            </w:r>
          </w:p>
          <w:p w14:paraId="548A4BFC">
            <w:pPr>
              <w:pStyle w:val="15"/>
              <w:spacing w:before="0" w:beforeAutospacing="0" w:after="0" w:afterAutospacing="0"/>
              <w:jc w:val="both"/>
              <w:rPr>
                <w:color w:val="auto"/>
              </w:rPr>
            </w:pPr>
            <w:r>
              <w:rPr>
                <w:color w:val="auto"/>
              </w:rPr>
              <w:t>Chỉnh sửa 08 Điều: các Điều 49, 50, 53, 55, 58, 61, 62, 78 về thẩm quyền cấp giấy phép, thời hạn xử lý hồ sơ cấp phép, bổ sung giấy phép, thời hạn của giấy phép, khai báo, thanh lý, phê duyệt kế hoạch ứng phó sự cố, thẩm quyền cấp giấy đăng ký và chứng chỉ hành nghề;</w:t>
            </w:r>
          </w:p>
          <w:p w14:paraId="30B31044">
            <w:pPr>
              <w:pStyle w:val="15"/>
              <w:spacing w:before="0" w:beforeAutospacing="0" w:after="0" w:afterAutospacing="0"/>
              <w:jc w:val="both"/>
              <w:rPr>
                <w:color w:val="auto"/>
              </w:rPr>
            </w:pPr>
            <w:r>
              <w:rPr>
                <w:color w:val="auto"/>
              </w:rPr>
              <w:t>Chỉnh sửa 02 Phụ lục: Phụ lục VII và Phụ lục VIII về Mẫu Phiếu khai báo và Mẫu đơn đề nghị cấp giấy phép tiến hành công việc bức xạ, cấp chứng chỉ nhân viên bức xạ.</w:t>
            </w:r>
          </w:p>
        </w:tc>
        <w:tc>
          <w:tcPr>
            <w:tcW w:w="1394" w:type="dxa"/>
          </w:tcPr>
          <w:p w14:paraId="13D75D28">
            <w:pPr>
              <w:jc w:val="both"/>
              <w:rPr>
                <w:color w:val="auto"/>
                <w:sz w:val="24"/>
                <w:szCs w:val="24"/>
              </w:rPr>
            </w:pPr>
            <w:r>
              <w:rPr>
                <w:color w:val="auto"/>
                <w:sz w:val="24"/>
                <w:szCs w:val="24"/>
              </w:rPr>
              <w:t>01 Nghị định sửa nhiều Nghị định</w:t>
            </w:r>
          </w:p>
        </w:tc>
        <w:tc>
          <w:tcPr>
            <w:tcW w:w="1275" w:type="dxa"/>
          </w:tcPr>
          <w:p w14:paraId="64D093B1">
            <w:pPr>
              <w:jc w:val="center"/>
              <w:rPr>
                <w:color w:val="auto"/>
                <w:sz w:val="24"/>
                <w:szCs w:val="24"/>
              </w:rPr>
            </w:pPr>
            <w:r>
              <w:rPr>
                <w:rFonts w:hint="default"/>
                <w:color w:val="auto"/>
                <w:sz w:val="24"/>
                <w:szCs w:val="24"/>
                <w:lang w:val="en-US"/>
              </w:rPr>
              <w:t>Tháng 12/</w:t>
            </w:r>
            <w:r>
              <w:rPr>
                <w:color w:val="auto"/>
                <w:sz w:val="24"/>
                <w:szCs w:val="24"/>
              </w:rPr>
              <w:t>2026</w:t>
            </w:r>
          </w:p>
        </w:tc>
        <w:tc>
          <w:tcPr>
            <w:tcW w:w="1245" w:type="dxa"/>
          </w:tcPr>
          <w:p w14:paraId="0366144F">
            <w:pPr>
              <w:jc w:val="center"/>
              <w:rPr>
                <w:color w:val="auto"/>
                <w:sz w:val="24"/>
                <w:szCs w:val="24"/>
              </w:rPr>
            </w:pPr>
            <w:r>
              <w:rPr>
                <w:color w:val="auto"/>
                <w:sz w:val="24"/>
                <w:szCs w:val="24"/>
              </w:rPr>
              <w:t>Tiêu chí 4</w:t>
            </w:r>
          </w:p>
        </w:tc>
        <w:tc>
          <w:tcPr>
            <w:tcW w:w="1308" w:type="dxa"/>
            <w:vMerge w:val="restart"/>
          </w:tcPr>
          <w:p w14:paraId="79BAD920">
            <w:pPr>
              <w:jc w:val="center"/>
              <w:rPr>
                <w:color w:val="auto"/>
                <w:sz w:val="24"/>
                <w:szCs w:val="24"/>
              </w:rPr>
            </w:pPr>
            <w:r>
              <w:rPr>
                <w:color w:val="auto"/>
                <w:sz w:val="24"/>
                <w:szCs w:val="24"/>
              </w:rPr>
              <w:t>Đã cập nhật theo ý kiến thẩm định và bỏ nội dung liên quan đến Điều 54 và Điều 85</w:t>
            </w:r>
          </w:p>
        </w:tc>
        <w:tc>
          <w:tcPr>
            <w:tcW w:w="2410" w:type="dxa"/>
          </w:tcPr>
          <w:p w14:paraId="064F6BF1">
            <w:pPr>
              <w:jc w:val="both"/>
              <w:rPr>
                <w:color w:val="auto"/>
                <w:sz w:val="24"/>
                <w:szCs w:val="24"/>
              </w:rPr>
            </w:pPr>
            <w:r>
              <w:rPr>
                <w:color w:val="auto"/>
                <w:sz w:val="24"/>
                <w:szCs w:val="24"/>
              </w:rPr>
              <w:t>- Cần làm rõ, hoàn thiện thêm các nội dung, quy định cần xử lý tại văn bản.</w:t>
            </w:r>
          </w:p>
          <w:p w14:paraId="2DFE1FA0">
            <w:pPr>
              <w:jc w:val="both"/>
              <w:rPr>
                <w:color w:val="auto"/>
                <w:sz w:val="24"/>
                <w:szCs w:val="24"/>
              </w:rPr>
            </w:pPr>
            <w:r>
              <w:rPr>
                <w:color w:val="auto"/>
                <w:sz w:val="24"/>
                <w:szCs w:val="24"/>
              </w:rPr>
              <w:t>- Chỉnh lý tên văn bản được rà soát, tên văn bản làm căn cứ rà soát cho đầy đù.</w:t>
            </w:r>
          </w:p>
        </w:tc>
      </w:tr>
      <w:tr w14:paraId="62F22F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9" w:hRule="atLeast"/>
          <w:jc w:val="center"/>
        </w:trPr>
        <w:tc>
          <w:tcPr>
            <w:tcW w:w="704" w:type="dxa"/>
            <w:vMerge w:val="continue"/>
          </w:tcPr>
          <w:p w14:paraId="123CF3CD">
            <w:pPr>
              <w:widowControl w:val="0"/>
              <w:spacing w:line="276" w:lineRule="auto"/>
              <w:rPr>
                <w:color w:val="auto"/>
                <w:sz w:val="24"/>
                <w:szCs w:val="24"/>
              </w:rPr>
            </w:pPr>
          </w:p>
        </w:tc>
        <w:tc>
          <w:tcPr>
            <w:tcW w:w="1843" w:type="dxa"/>
            <w:vMerge w:val="continue"/>
          </w:tcPr>
          <w:p w14:paraId="2A18FC39">
            <w:pPr>
              <w:widowControl w:val="0"/>
              <w:spacing w:line="276" w:lineRule="auto"/>
              <w:rPr>
                <w:color w:val="auto"/>
                <w:sz w:val="24"/>
                <w:szCs w:val="24"/>
              </w:rPr>
            </w:pPr>
          </w:p>
        </w:tc>
        <w:tc>
          <w:tcPr>
            <w:tcW w:w="1417" w:type="dxa"/>
            <w:vMerge w:val="restart"/>
          </w:tcPr>
          <w:p w14:paraId="44B355A9">
            <w:pPr>
              <w:tabs>
                <w:tab w:val="right" w:pos="8640"/>
              </w:tabs>
              <w:ind w:right="149"/>
              <w:jc w:val="both"/>
              <w:rPr>
                <w:color w:val="auto"/>
                <w:sz w:val="24"/>
                <w:szCs w:val="24"/>
              </w:rPr>
            </w:pPr>
            <w:r>
              <w:rPr>
                <w:color w:val="auto"/>
                <w:sz w:val="24"/>
                <w:szCs w:val="24"/>
              </w:rPr>
              <w:t>Tình hình thực tiễn</w:t>
            </w:r>
          </w:p>
        </w:tc>
        <w:tc>
          <w:tcPr>
            <w:tcW w:w="4051" w:type="dxa"/>
            <w:vMerge w:val="restart"/>
          </w:tcPr>
          <w:p w14:paraId="34512A92">
            <w:pPr>
              <w:tabs>
                <w:tab w:val="left" w:pos="3826"/>
                <w:tab w:val="right" w:pos="8640"/>
              </w:tabs>
              <w:ind w:right="-49"/>
              <w:jc w:val="both"/>
              <w:rPr>
                <w:color w:val="auto"/>
                <w:sz w:val="24"/>
                <w:szCs w:val="24"/>
              </w:rPr>
            </w:pPr>
            <w:r>
              <w:rPr>
                <w:color w:val="auto"/>
                <w:sz w:val="24"/>
                <w:szCs w:val="24"/>
              </w:rPr>
              <w:t>Phụ lục III về Biện pháp bảo đảm an ninh nguồn phóng xạ chưa quy định đầy đủ cho nguồn phóng xạ nhóm 4, nhóm 5 tương ứng với mức an ninh D do Phụ lục III chưa quy định các yêu cầu quản lý áp dụng đối với nguồn phóng xạ mức an ninh D, gồm quy định về kiểm đếm định kỳ, lập hồ sơ kiểm đếm, kiểm đếm hàng tuần trong trường hợp dừng dây chuyền sản xuất và yêu cầu gắn dấu hiệu cảnh báo bức xạ ion hóa. Điều này tạo khoảng trống về an ninh hạt nhân đối với nguồn phóng xạ thuộc mức an ninh D.</w:t>
            </w:r>
          </w:p>
          <w:p w14:paraId="1D01B459">
            <w:pPr>
              <w:tabs>
                <w:tab w:val="left" w:pos="3826"/>
                <w:tab w:val="right" w:pos="8640"/>
              </w:tabs>
              <w:ind w:right="-49"/>
              <w:jc w:val="both"/>
              <w:rPr>
                <w:color w:val="auto"/>
                <w:sz w:val="24"/>
                <w:szCs w:val="24"/>
              </w:rPr>
            </w:pPr>
            <w:r>
              <w:rPr>
                <w:color w:val="auto"/>
                <w:sz w:val="24"/>
                <w:szCs w:val="24"/>
              </w:rPr>
              <w:t xml:space="preserve">Phụ lục XII (dự kiến sửa tên và bổ sung thêm mức thanh lý đối với vật liệu NORM) do tại Phụ lục XII của Nghị định số 332/2025/NĐ-CP có quy định về các tiêu chí thanh lý chất thải phóng xạ, nguồn phóng xạ đã qua sử dụng, tuy nhiên, theo quy định tại Điều 40 Luật Năng lượng nguyên tử thì Chính phủ chỉ quy định các nội dung quản lý cho vật thể bị nhiễm bẩn phóng xạ và nguồn phóng xạ đã qua sử dụng. Vì vậy, cần nghiên cứu điều chỉnh lại Phụ lục XII chỉ quy định mức thanh lý đối với nguồn phóng xạ đã qua sử dụng và vật thể nhiễm bẩn phóng xạ để phù hợp với thực tiễn quản lý.  </w:t>
            </w:r>
          </w:p>
        </w:tc>
        <w:tc>
          <w:tcPr>
            <w:tcW w:w="1394" w:type="dxa"/>
            <w:vMerge w:val="restart"/>
          </w:tcPr>
          <w:p w14:paraId="56134B3F">
            <w:pPr>
              <w:jc w:val="both"/>
              <w:rPr>
                <w:color w:val="auto"/>
                <w:sz w:val="24"/>
                <w:szCs w:val="24"/>
              </w:rPr>
            </w:pPr>
            <w:r>
              <w:rPr>
                <w:color w:val="auto"/>
                <w:sz w:val="24"/>
                <w:szCs w:val="24"/>
              </w:rPr>
              <w:t>01 Nghị định sửa nhiều Nghị định</w:t>
            </w:r>
          </w:p>
        </w:tc>
        <w:tc>
          <w:tcPr>
            <w:tcW w:w="1275" w:type="dxa"/>
            <w:vMerge w:val="restart"/>
          </w:tcPr>
          <w:p w14:paraId="05B938F3">
            <w:pPr>
              <w:jc w:val="center"/>
              <w:rPr>
                <w:color w:val="auto"/>
                <w:sz w:val="24"/>
                <w:szCs w:val="24"/>
              </w:rPr>
            </w:pPr>
            <w:r>
              <w:rPr>
                <w:rFonts w:hint="default"/>
                <w:color w:val="auto"/>
                <w:sz w:val="24"/>
                <w:szCs w:val="24"/>
                <w:lang w:val="en-US"/>
              </w:rPr>
              <w:t>Tháng 12/</w:t>
            </w:r>
            <w:r>
              <w:rPr>
                <w:color w:val="auto"/>
                <w:sz w:val="24"/>
                <w:szCs w:val="24"/>
              </w:rPr>
              <w:t>2026</w:t>
            </w:r>
          </w:p>
        </w:tc>
        <w:tc>
          <w:tcPr>
            <w:tcW w:w="1245" w:type="dxa"/>
            <w:vMerge w:val="restart"/>
          </w:tcPr>
          <w:p w14:paraId="4A7349FE">
            <w:pPr>
              <w:jc w:val="center"/>
              <w:rPr>
                <w:color w:val="auto"/>
                <w:sz w:val="24"/>
                <w:szCs w:val="24"/>
              </w:rPr>
            </w:pPr>
            <w:r>
              <w:rPr>
                <w:color w:val="auto"/>
                <w:sz w:val="24"/>
                <w:szCs w:val="24"/>
              </w:rPr>
              <w:t>Tiêu chí 2</w:t>
            </w:r>
          </w:p>
        </w:tc>
        <w:tc>
          <w:tcPr>
            <w:tcW w:w="1308" w:type="dxa"/>
            <w:vMerge w:val="continue"/>
          </w:tcPr>
          <w:p w14:paraId="6FF91551">
            <w:pPr>
              <w:widowControl w:val="0"/>
              <w:spacing w:line="276" w:lineRule="auto"/>
              <w:rPr>
                <w:color w:val="auto"/>
                <w:sz w:val="24"/>
                <w:szCs w:val="24"/>
              </w:rPr>
            </w:pPr>
          </w:p>
        </w:tc>
        <w:tc>
          <w:tcPr>
            <w:tcW w:w="2410" w:type="dxa"/>
          </w:tcPr>
          <w:p w14:paraId="210814AA">
            <w:pPr>
              <w:widowControl w:val="0"/>
              <w:spacing w:line="276" w:lineRule="auto"/>
              <w:ind w:firstLine="284"/>
              <w:jc w:val="both"/>
              <w:rPr>
                <w:color w:val="auto"/>
                <w:sz w:val="24"/>
                <w:szCs w:val="24"/>
              </w:rPr>
            </w:pPr>
            <w:r>
              <w:rPr>
                <w:color w:val="auto"/>
                <w:sz w:val="24"/>
                <w:szCs w:val="24"/>
              </w:rPr>
              <w:t>Cần làm rõ, hoàn thiện thêm các nội dung, quy định cần xử lý tại văn bản.</w:t>
            </w:r>
          </w:p>
        </w:tc>
      </w:tr>
      <w:tr w14:paraId="5C35FB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59" w:hRule="atLeast"/>
          <w:jc w:val="center"/>
        </w:trPr>
        <w:tc>
          <w:tcPr>
            <w:tcW w:w="704" w:type="dxa"/>
            <w:vMerge w:val="continue"/>
          </w:tcPr>
          <w:p w14:paraId="6DC9311E">
            <w:pPr>
              <w:widowControl w:val="0"/>
              <w:spacing w:line="276" w:lineRule="auto"/>
              <w:rPr>
                <w:color w:val="auto"/>
                <w:sz w:val="24"/>
                <w:szCs w:val="24"/>
              </w:rPr>
            </w:pPr>
          </w:p>
        </w:tc>
        <w:tc>
          <w:tcPr>
            <w:tcW w:w="1843" w:type="dxa"/>
            <w:vMerge w:val="continue"/>
          </w:tcPr>
          <w:p w14:paraId="34755566">
            <w:pPr>
              <w:widowControl w:val="0"/>
              <w:spacing w:line="276" w:lineRule="auto"/>
              <w:rPr>
                <w:color w:val="auto"/>
                <w:sz w:val="24"/>
                <w:szCs w:val="24"/>
              </w:rPr>
            </w:pPr>
          </w:p>
        </w:tc>
        <w:tc>
          <w:tcPr>
            <w:tcW w:w="1417" w:type="dxa"/>
            <w:vMerge w:val="continue"/>
          </w:tcPr>
          <w:p w14:paraId="6A4F3C15">
            <w:pPr>
              <w:tabs>
                <w:tab w:val="right" w:pos="8640"/>
              </w:tabs>
              <w:ind w:right="149"/>
              <w:jc w:val="both"/>
              <w:rPr>
                <w:color w:val="auto"/>
                <w:sz w:val="24"/>
                <w:szCs w:val="24"/>
              </w:rPr>
            </w:pPr>
          </w:p>
        </w:tc>
        <w:tc>
          <w:tcPr>
            <w:tcW w:w="4051" w:type="dxa"/>
            <w:vMerge w:val="continue"/>
          </w:tcPr>
          <w:p w14:paraId="6EFA9EEE">
            <w:pPr>
              <w:tabs>
                <w:tab w:val="left" w:pos="3826"/>
                <w:tab w:val="right" w:pos="8640"/>
              </w:tabs>
              <w:ind w:right="-49"/>
              <w:jc w:val="both"/>
              <w:rPr>
                <w:color w:val="auto"/>
                <w:sz w:val="24"/>
                <w:szCs w:val="24"/>
              </w:rPr>
            </w:pPr>
          </w:p>
        </w:tc>
        <w:tc>
          <w:tcPr>
            <w:tcW w:w="1394" w:type="dxa"/>
            <w:vMerge w:val="continue"/>
          </w:tcPr>
          <w:p w14:paraId="32B8BB1B">
            <w:pPr>
              <w:jc w:val="both"/>
              <w:rPr>
                <w:color w:val="auto"/>
                <w:sz w:val="24"/>
                <w:szCs w:val="24"/>
              </w:rPr>
            </w:pPr>
          </w:p>
        </w:tc>
        <w:tc>
          <w:tcPr>
            <w:tcW w:w="1275" w:type="dxa"/>
            <w:vMerge w:val="continue"/>
          </w:tcPr>
          <w:p w14:paraId="466B3822">
            <w:pPr>
              <w:jc w:val="center"/>
              <w:rPr>
                <w:color w:val="auto"/>
                <w:sz w:val="24"/>
                <w:szCs w:val="24"/>
              </w:rPr>
            </w:pPr>
          </w:p>
        </w:tc>
        <w:tc>
          <w:tcPr>
            <w:tcW w:w="1245" w:type="dxa"/>
            <w:vMerge w:val="continue"/>
          </w:tcPr>
          <w:p w14:paraId="3BCF44B0">
            <w:pPr>
              <w:jc w:val="center"/>
              <w:rPr>
                <w:color w:val="auto"/>
                <w:sz w:val="24"/>
                <w:szCs w:val="24"/>
              </w:rPr>
            </w:pPr>
          </w:p>
        </w:tc>
        <w:tc>
          <w:tcPr>
            <w:tcW w:w="1308" w:type="dxa"/>
            <w:vMerge w:val="continue"/>
          </w:tcPr>
          <w:p w14:paraId="49FFF43A">
            <w:pPr>
              <w:widowControl w:val="0"/>
              <w:spacing w:line="276" w:lineRule="auto"/>
              <w:rPr>
                <w:color w:val="auto"/>
                <w:sz w:val="24"/>
                <w:szCs w:val="24"/>
              </w:rPr>
            </w:pPr>
          </w:p>
        </w:tc>
        <w:tc>
          <w:tcPr>
            <w:tcW w:w="2410" w:type="dxa"/>
          </w:tcPr>
          <w:p w14:paraId="651C1DD7">
            <w:pPr>
              <w:widowControl w:val="0"/>
              <w:spacing w:line="276" w:lineRule="auto"/>
              <w:jc w:val="both"/>
              <w:rPr>
                <w:color w:val="auto"/>
                <w:sz w:val="24"/>
                <w:szCs w:val="24"/>
              </w:rPr>
            </w:pPr>
            <w:r>
              <w:rPr>
                <w:color w:val="auto"/>
                <w:sz w:val="24"/>
                <w:szCs w:val="24"/>
              </w:rPr>
              <w:t>Cần làm rõ, hoàn thiện thêm các nội dung, quy định cần xử lý tại văn bản.</w:t>
            </w:r>
          </w:p>
        </w:tc>
      </w:tr>
      <w:tr w14:paraId="0D72AB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3237" w:type="dxa"/>
            <w:gridSpan w:val="8"/>
          </w:tcPr>
          <w:p w14:paraId="7882B9CB">
            <w:pPr>
              <w:pStyle w:val="3"/>
              <w:ind w:firstLine="284"/>
              <w:rPr>
                <w:color w:val="auto"/>
              </w:rPr>
            </w:pPr>
            <w:r>
              <w:rPr>
                <w:color w:val="auto"/>
                <w:sz w:val="24"/>
                <w:szCs w:val="24"/>
              </w:rPr>
              <w:t>VI. LĨNH VỰC VIỄN THÔNG</w:t>
            </w:r>
          </w:p>
        </w:tc>
        <w:tc>
          <w:tcPr>
            <w:tcW w:w="2410" w:type="dxa"/>
          </w:tcPr>
          <w:p w14:paraId="56179081">
            <w:pPr>
              <w:pStyle w:val="3"/>
              <w:ind w:firstLine="284"/>
              <w:jc w:val="both"/>
              <w:rPr>
                <w:color w:val="auto"/>
                <w:sz w:val="24"/>
                <w:szCs w:val="24"/>
              </w:rPr>
            </w:pPr>
          </w:p>
        </w:tc>
      </w:tr>
      <w:tr w14:paraId="3D27AA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04" w:type="dxa"/>
            <w:vMerge w:val="restart"/>
          </w:tcPr>
          <w:p w14:paraId="15810706">
            <w:pPr>
              <w:jc w:val="center"/>
              <w:rPr>
                <w:color w:val="auto"/>
                <w:sz w:val="24"/>
                <w:szCs w:val="24"/>
              </w:rPr>
            </w:pPr>
          </w:p>
          <w:p w14:paraId="2565FA04">
            <w:pPr>
              <w:numPr>
                <w:ilvl w:val="0"/>
                <w:numId w:val="6"/>
              </w:numPr>
              <w:tabs>
                <w:tab w:val="left" w:pos="425"/>
              </w:tabs>
              <w:jc w:val="center"/>
              <w:rPr>
                <w:color w:val="auto"/>
                <w:sz w:val="24"/>
                <w:szCs w:val="24"/>
              </w:rPr>
            </w:pPr>
          </w:p>
        </w:tc>
        <w:tc>
          <w:tcPr>
            <w:tcW w:w="1843" w:type="dxa"/>
            <w:vMerge w:val="restart"/>
          </w:tcPr>
          <w:p w14:paraId="34FB6D31">
            <w:pPr>
              <w:jc w:val="both"/>
              <w:rPr>
                <w:color w:val="auto"/>
                <w:sz w:val="24"/>
                <w:szCs w:val="24"/>
              </w:rPr>
            </w:pPr>
            <w:r>
              <w:rPr>
                <w:color w:val="auto"/>
                <w:sz w:val="24"/>
                <w:szCs w:val="24"/>
              </w:rPr>
              <w:t>Luật Viễn thông</w:t>
            </w:r>
          </w:p>
        </w:tc>
        <w:tc>
          <w:tcPr>
            <w:tcW w:w="1417" w:type="dxa"/>
          </w:tcPr>
          <w:p w14:paraId="3655B695">
            <w:pPr>
              <w:jc w:val="both"/>
              <w:rPr>
                <w:rFonts w:hint="default"/>
                <w:color w:val="auto"/>
                <w:sz w:val="24"/>
                <w:szCs w:val="24"/>
                <w:lang w:val="en-US"/>
              </w:rPr>
            </w:pPr>
            <w:r>
              <w:rPr>
                <w:color w:val="auto"/>
                <w:sz w:val="24"/>
                <w:szCs w:val="24"/>
              </w:rPr>
              <w:t>Cải cách TTHC, Kết luận số 18-KL/TW ngày 02/04/2026</w:t>
            </w:r>
            <w:r>
              <w:rPr>
                <w:rFonts w:hint="default"/>
                <w:color w:val="auto"/>
                <w:sz w:val="24"/>
                <w:szCs w:val="24"/>
                <w:lang w:val="en-US"/>
              </w:rPr>
              <w:t xml:space="preserve"> về Kế hoạch phát triển kinh tế - xã hội, tài chính quốc gia và vay, trả nợ công, đầu tư công trung hạn 5 năm 2026 - 2030 gắn với thực hiện mục tiêu phấn đấu tăng trưởng "2 con số"</w:t>
            </w:r>
          </w:p>
        </w:tc>
        <w:tc>
          <w:tcPr>
            <w:tcW w:w="4051" w:type="dxa"/>
          </w:tcPr>
          <w:p w14:paraId="0B097755">
            <w:pPr>
              <w:jc w:val="both"/>
              <w:rPr>
                <w:rFonts w:hint="default"/>
                <w:color w:val="auto"/>
                <w:sz w:val="24"/>
                <w:szCs w:val="24"/>
                <w:lang w:val="en-US"/>
              </w:rPr>
            </w:pPr>
            <w:r>
              <w:rPr>
                <w:color w:val="auto"/>
                <w:sz w:val="24"/>
                <w:szCs w:val="24"/>
              </w:rPr>
              <w:t>Cần bãi bỏ quy định tại khoản 4 Điều 48 về điều kiện hoạt động của tổ chức, doanh nghiệp cung cấp dịch vụ đăng ký, duy trì tên miền theo Nghị quyết số 66.18/2026/NQ-CP ngày 15/5/2026 của Chính phủ quy định cắt giảm các thủ tục hành chính, điều kiện kinh doanh</w:t>
            </w:r>
          </w:p>
        </w:tc>
        <w:tc>
          <w:tcPr>
            <w:tcW w:w="1394" w:type="dxa"/>
          </w:tcPr>
          <w:p w14:paraId="7EB80FAF">
            <w:pPr>
              <w:jc w:val="center"/>
              <w:rPr>
                <w:color w:val="auto"/>
                <w:sz w:val="24"/>
                <w:szCs w:val="24"/>
              </w:rPr>
            </w:pPr>
            <w:r>
              <w:rPr>
                <w:rFonts w:hint="default"/>
                <w:color w:val="auto"/>
                <w:sz w:val="24"/>
                <w:szCs w:val="24"/>
                <w:lang w:val="en-US"/>
              </w:rPr>
              <w:t>S</w:t>
            </w:r>
            <w:r>
              <w:rPr>
                <w:color w:val="auto"/>
                <w:sz w:val="24"/>
                <w:szCs w:val="24"/>
              </w:rPr>
              <w:t>ửa đổi, bổ sung</w:t>
            </w:r>
          </w:p>
        </w:tc>
        <w:tc>
          <w:tcPr>
            <w:tcW w:w="1275" w:type="dxa"/>
          </w:tcPr>
          <w:p w14:paraId="646BBF9A">
            <w:pPr>
              <w:jc w:val="center"/>
              <w:rPr>
                <w:color w:val="auto"/>
                <w:sz w:val="24"/>
                <w:szCs w:val="24"/>
              </w:rPr>
            </w:pPr>
            <w:r>
              <w:rPr>
                <w:rFonts w:hint="default"/>
                <w:color w:val="auto"/>
                <w:sz w:val="24"/>
                <w:szCs w:val="24"/>
                <w:lang w:val="en-US"/>
              </w:rPr>
              <w:t>Tháng 12/</w:t>
            </w:r>
            <w:r>
              <w:rPr>
                <w:color w:val="auto"/>
                <w:sz w:val="24"/>
                <w:szCs w:val="24"/>
              </w:rPr>
              <w:t>2026</w:t>
            </w:r>
          </w:p>
        </w:tc>
        <w:tc>
          <w:tcPr>
            <w:tcW w:w="1245" w:type="dxa"/>
          </w:tcPr>
          <w:p w14:paraId="7F90B99B">
            <w:pPr>
              <w:jc w:val="center"/>
              <w:rPr>
                <w:color w:val="auto"/>
                <w:sz w:val="24"/>
                <w:szCs w:val="24"/>
              </w:rPr>
            </w:pPr>
            <w:r>
              <w:rPr>
                <w:color w:val="auto"/>
                <w:sz w:val="24"/>
                <w:szCs w:val="24"/>
              </w:rPr>
              <w:t>Tiêu chí 1.2, 4</w:t>
            </w:r>
          </w:p>
        </w:tc>
        <w:tc>
          <w:tcPr>
            <w:tcW w:w="1308" w:type="dxa"/>
            <w:vMerge w:val="restart"/>
          </w:tcPr>
          <w:p w14:paraId="120A4A01">
            <w:pPr>
              <w:jc w:val="center"/>
              <w:rPr>
                <w:color w:val="auto"/>
                <w:sz w:val="24"/>
                <w:szCs w:val="24"/>
              </w:rPr>
            </w:pPr>
            <w:r>
              <w:rPr>
                <w:color w:val="auto"/>
                <w:sz w:val="24"/>
                <w:szCs w:val="24"/>
              </w:rPr>
              <w:t>Đã cập nhật theo ý kiến thẩm định</w:t>
            </w:r>
          </w:p>
        </w:tc>
        <w:tc>
          <w:tcPr>
            <w:tcW w:w="2410" w:type="dxa"/>
          </w:tcPr>
          <w:p w14:paraId="5C21D827">
            <w:pPr>
              <w:ind w:firstLine="284"/>
              <w:jc w:val="both"/>
              <w:rPr>
                <w:color w:val="auto"/>
                <w:sz w:val="24"/>
                <w:szCs w:val="24"/>
              </w:rPr>
            </w:pPr>
            <w:r>
              <w:rPr>
                <w:color w:val="auto"/>
                <w:sz w:val="24"/>
                <w:szCs w:val="24"/>
              </w:rPr>
              <w:t>- Nhất trí</w:t>
            </w:r>
          </w:p>
          <w:p w14:paraId="06E480EE">
            <w:pPr>
              <w:ind w:firstLine="284"/>
              <w:jc w:val="both"/>
              <w:rPr>
                <w:color w:val="auto"/>
                <w:sz w:val="24"/>
                <w:szCs w:val="24"/>
              </w:rPr>
            </w:pPr>
            <w:r>
              <w:rPr>
                <w:color w:val="auto"/>
                <w:sz w:val="24"/>
                <w:szCs w:val="24"/>
              </w:rPr>
              <w:t>- Chỉnh lý tên văn bản được làm căn cứ rà soát cho đầy đù.</w:t>
            </w:r>
          </w:p>
        </w:tc>
      </w:tr>
      <w:tr w14:paraId="64D5AA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04" w:type="dxa"/>
            <w:vMerge w:val="continue"/>
          </w:tcPr>
          <w:p w14:paraId="1180D89E">
            <w:pPr>
              <w:widowControl w:val="0"/>
              <w:spacing w:line="276" w:lineRule="auto"/>
              <w:rPr>
                <w:color w:val="auto"/>
                <w:sz w:val="24"/>
                <w:szCs w:val="24"/>
              </w:rPr>
            </w:pPr>
          </w:p>
        </w:tc>
        <w:tc>
          <w:tcPr>
            <w:tcW w:w="1843" w:type="dxa"/>
            <w:vMerge w:val="continue"/>
          </w:tcPr>
          <w:p w14:paraId="4CAC22B3">
            <w:pPr>
              <w:widowControl w:val="0"/>
              <w:spacing w:line="276" w:lineRule="auto"/>
              <w:rPr>
                <w:color w:val="auto"/>
                <w:sz w:val="24"/>
                <w:szCs w:val="24"/>
              </w:rPr>
            </w:pPr>
          </w:p>
        </w:tc>
        <w:tc>
          <w:tcPr>
            <w:tcW w:w="1417" w:type="dxa"/>
          </w:tcPr>
          <w:p w14:paraId="329D16C8">
            <w:pPr>
              <w:jc w:val="both"/>
              <w:rPr>
                <w:color w:val="auto"/>
                <w:sz w:val="24"/>
                <w:szCs w:val="24"/>
              </w:rPr>
            </w:pPr>
            <w:r>
              <w:rPr>
                <w:color w:val="auto"/>
                <w:sz w:val="24"/>
                <w:szCs w:val="24"/>
              </w:rPr>
              <w:t>Cải cách TTHC</w:t>
            </w:r>
          </w:p>
        </w:tc>
        <w:tc>
          <w:tcPr>
            <w:tcW w:w="4051" w:type="dxa"/>
          </w:tcPr>
          <w:p w14:paraId="01F41CB6">
            <w:pPr>
              <w:jc w:val="both"/>
              <w:rPr>
                <w:color w:val="auto"/>
                <w:sz w:val="24"/>
                <w:szCs w:val="24"/>
              </w:rPr>
            </w:pPr>
            <w:r>
              <w:rPr>
                <w:color w:val="auto"/>
                <w:sz w:val="24"/>
                <w:szCs w:val="24"/>
              </w:rPr>
              <w:t>Chính phủ đã ban hành Nghị quyết số 66.16/2026/NQ-CP ngày 08/4/2026 nhằm thực hiện chủ trương của Đảng và Nhà nước về cắt giảm, đơn giản hóa điều kiện đầu tư kinh doanh và thủ tục hành chính, trong đó có nội dung cắt giảm, đơn giản hóa điều kiện kinh doanh trong lĩnh vực viễn thông, cụ thể điều chỉnh điều kiện cấp giấy phép kinh doanh dịch vụ viễn thông tại Điều 36 và Điều 37 Luật Viễn thông. Nghị quyết có hiệu lực đến hết ngày 28/02/2027. Do đó, cần phải rà soát các quy định tại Điều 36 và Điều 37 để thống nhất, đồng bộ với Nghị quyết số 66.16/2026/NQ-CP.</w:t>
            </w:r>
          </w:p>
        </w:tc>
        <w:tc>
          <w:tcPr>
            <w:tcW w:w="1394" w:type="dxa"/>
            <w:vAlign w:val="top"/>
          </w:tcPr>
          <w:p w14:paraId="29D76168">
            <w:pPr>
              <w:jc w:val="center"/>
              <w:rPr>
                <w:rFonts w:hint="default"/>
                <w:color w:val="auto"/>
                <w:sz w:val="24"/>
                <w:szCs w:val="24"/>
                <w:lang w:val="en-US"/>
              </w:rPr>
            </w:pPr>
            <w:r>
              <w:rPr>
                <w:rFonts w:hint="default"/>
                <w:color w:val="auto"/>
                <w:sz w:val="24"/>
                <w:szCs w:val="24"/>
                <w:lang w:val="en-US"/>
              </w:rPr>
              <w:t>S</w:t>
            </w:r>
            <w:r>
              <w:rPr>
                <w:color w:val="auto"/>
                <w:sz w:val="24"/>
                <w:szCs w:val="24"/>
              </w:rPr>
              <w:t>ửa đổi, bổ sung</w:t>
            </w:r>
          </w:p>
        </w:tc>
        <w:tc>
          <w:tcPr>
            <w:tcW w:w="1275" w:type="dxa"/>
            <w:vAlign w:val="top"/>
          </w:tcPr>
          <w:p w14:paraId="764ADB04">
            <w:pPr>
              <w:jc w:val="center"/>
              <w:rPr>
                <w:color w:val="auto"/>
                <w:sz w:val="24"/>
                <w:szCs w:val="24"/>
              </w:rPr>
            </w:pPr>
            <w:r>
              <w:rPr>
                <w:rFonts w:hint="default"/>
                <w:color w:val="auto"/>
                <w:sz w:val="24"/>
                <w:szCs w:val="24"/>
                <w:lang w:val="en-US"/>
              </w:rPr>
              <w:t>Tháng 12/</w:t>
            </w:r>
            <w:r>
              <w:rPr>
                <w:color w:val="auto"/>
                <w:sz w:val="24"/>
                <w:szCs w:val="24"/>
              </w:rPr>
              <w:t>2026</w:t>
            </w:r>
          </w:p>
        </w:tc>
        <w:tc>
          <w:tcPr>
            <w:tcW w:w="1245" w:type="dxa"/>
          </w:tcPr>
          <w:p w14:paraId="59B9C0D4">
            <w:pPr>
              <w:jc w:val="center"/>
              <w:rPr>
                <w:color w:val="auto"/>
                <w:sz w:val="24"/>
                <w:szCs w:val="24"/>
              </w:rPr>
            </w:pPr>
            <w:r>
              <w:rPr>
                <w:color w:val="auto"/>
                <w:sz w:val="24"/>
                <w:szCs w:val="24"/>
              </w:rPr>
              <w:t>Tiêu chí 4</w:t>
            </w:r>
          </w:p>
        </w:tc>
        <w:tc>
          <w:tcPr>
            <w:tcW w:w="1308" w:type="dxa"/>
            <w:vMerge w:val="continue"/>
          </w:tcPr>
          <w:p w14:paraId="502BF912">
            <w:pPr>
              <w:widowControl w:val="0"/>
              <w:spacing w:line="276" w:lineRule="auto"/>
              <w:rPr>
                <w:color w:val="auto"/>
                <w:sz w:val="24"/>
                <w:szCs w:val="24"/>
              </w:rPr>
            </w:pPr>
          </w:p>
        </w:tc>
        <w:tc>
          <w:tcPr>
            <w:tcW w:w="2410" w:type="dxa"/>
          </w:tcPr>
          <w:p w14:paraId="45AC3127">
            <w:pPr>
              <w:widowControl w:val="0"/>
              <w:spacing w:line="276" w:lineRule="auto"/>
              <w:ind w:firstLine="284"/>
              <w:jc w:val="both"/>
              <w:rPr>
                <w:color w:val="auto"/>
                <w:sz w:val="24"/>
                <w:szCs w:val="24"/>
              </w:rPr>
            </w:pPr>
            <w:r>
              <w:rPr>
                <w:color w:val="auto"/>
                <w:sz w:val="24"/>
                <w:szCs w:val="24"/>
              </w:rPr>
              <w:t>Nhất trí</w:t>
            </w:r>
          </w:p>
        </w:tc>
      </w:tr>
      <w:tr w14:paraId="3A437F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04" w:type="dxa"/>
            <w:vMerge w:val="continue"/>
          </w:tcPr>
          <w:p w14:paraId="4CE96583">
            <w:pPr>
              <w:widowControl w:val="0"/>
              <w:spacing w:line="276" w:lineRule="auto"/>
              <w:rPr>
                <w:color w:val="auto"/>
                <w:sz w:val="24"/>
                <w:szCs w:val="24"/>
              </w:rPr>
            </w:pPr>
          </w:p>
        </w:tc>
        <w:tc>
          <w:tcPr>
            <w:tcW w:w="1843" w:type="dxa"/>
            <w:vMerge w:val="continue"/>
          </w:tcPr>
          <w:p w14:paraId="2B38A3E4">
            <w:pPr>
              <w:widowControl w:val="0"/>
              <w:spacing w:line="276" w:lineRule="auto"/>
              <w:rPr>
                <w:color w:val="auto"/>
                <w:sz w:val="24"/>
                <w:szCs w:val="24"/>
              </w:rPr>
            </w:pPr>
          </w:p>
        </w:tc>
        <w:tc>
          <w:tcPr>
            <w:tcW w:w="1417" w:type="dxa"/>
          </w:tcPr>
          <w:p w14:paraId="70C3221E">
            <w:pPr>
              <w:jc w:val="both"/>
              <w:rPr>
                <w:color w:val="auto"/>
                <w:sz w:val="24"/>
                <w:szCs w:val="24"/>
              </w:rPr>
            </w:pPr>
            <w:r>
              <w:rPr>
                <w:color w:val="auto"/>
                <w:sz w:val="24"/>
                <w:szCs w:val="24"/>
              </w:rPr>
              <w:t>Đáp ứng tình hình thực tiễn</w:t>
            </w:r>
          </w:p>
        </w:tc>
        <w:tc>
          <w:tcPr>
            <w:tcW w:w="4051" w:type="dxa"/>
          </w:tcPr>
          <w:p w14:paraId="4EC94CF9">
            <w:pPr>
              <w:jc w:val="both"/>
              <w:rPr>
                <w:color w:val="auto"/>
                <w:sz w:val="24"/>
                <w:szCs w:val="24"/>
              </w:rPr>
            </w:pPr>
            <w:r>
              <w:rPr>
                <w:color w:val="auto"/>
                <w:sz w:val="24"/>
                <w:szCs w:val="24"/>
              </w:rPr>
              <w:t>Chính phủ đã ban hành Nghị quyết số 66.10/2025/NQ-CP ngày 15/12/2025 quy định về sử dụng chung công trình hạ tầng kỹ thuật, cơ sở hạ tầng viễn thông của cơ quan, tổ chức, doanh nghiệp để thực hiện nhiệm vụ quốc phòng, bảo vệ an ninh quốc gia, bảo đảm trật tự, an toàn xã hội. Nghị quyết quy định một số cơ chế đặc thù cho phép thực hiện thỏa thuận chia sẻ cơ sở hạ tầng viễn thông của doanh nghiệp do Nhà nước nắm giữ 100% vốn điều lệ và cơ quan, tổ chức trực tiếp phục vụ nhiệm vụ quốc phòng an ninh. Nghị quyết có hiệu lực đến ngày 28/02/2027, do đó cần rà soát quy định tại Điều 47 Luật Viễn thông để hoàn thiện hành lang pháp lý khắc phục những quy định chưa đồng bộ, tạo cơ sở pháp lý đầy đủ để Chính phủ thể chế hóa theo thẩm quyền các nội dung về chia sẻ cơ sở hạ tầng viễn thông quy định tại Nghị quyết số 66.10/2025/NQ-CP.</w:t>
            </w:r>
          </w:p>
        </w:tc>
        <w:tc>
          <w:tcPr>
            <w:tcW w:w="1394" w:type="dxa"/>
            <w:vAlign w:val="top"/>
          </w:tcPr>
          <w:p w14:paraId="55C98EB3">
            <w:pPr>
              <w:jc w:val="center"/>
              <w:rPr>
                <w:color w:val="auto"/>
                <w:sz w:val="24"/>
                <w:szCs w:val="24"/>
              </w:rPr>
            </w:pPr>
            <w:r>
              <w:rPr>
                <w:rFonts w:hint="default"/>
                <w:color w:val="auto"/>
                <w:sz w:val="24"/>
                <w:szCs w:val="24"/>
                <w:lang w:val="en-US"/>
              </w:rPr>
              <w:t>S</w:t>
            </w:r>
            <w:r>
              <w:rPr>
                <w:color w:val="auto"/>
                <w:sz w:val="24"/>
                <w:szCs w:val="24"/>
              </w:rPr>
              <w:t>ửa đổi, bổ sung</w:t>
            </w:r>
          </w:p>
        </w:tc>
        <w:tc>
          <w:tcPr>
            <w:tcW w:w="1275" w:type="dxa"/>
            <w:vAlign w:val="top"/>
          </w:tcPr>
          <w:p w14:paraId="0132929C">
            <w:pPr>
              <w:jc w:val="center"/>
              <w:rPr>
                <w:color w:val="auto"/>
                <w:sz w:val="24"/>
                <w:szCs w:val="24"/>
              </w:rPr>
            </w:pPr>
            <w:r>
              <w:rPr>
                <w:rFonts w:hint="default"/>
                <w:color w:val="auto"/>
                <w:sz w:val="24"/>
                <w:szCs w:val="24"/>
                <w:lang w:val="en-US"/>
              </w:rPr>
              <w:t>Tháng 12/</w:t>
            </w:r>
            <w:r>
              <w:rPr>
                <w:color w:val="auto"/>
                <w:sz w:val="24"/>
                <w:szCs w:val="24"/>
              </w:rPr>
              <w:t>2026</w:t>
            </w:r>
          </w:p>
        </w:tc>
        <w:tc>
          <w:tcPr>
            <w:tcW w:w="1245" w:type="dxa"/>
          </w:tcPr>
          <w:p w14:paraId="0DE34430">
            <w:pPr>
              <w:jc w:val="center"/>
              <w:rPr>
                <w:color w:val="auto"/>
                <w:sz w:val="24"/>
                <w:szCs w:val="24"/>
              </w:rPr>
            </w:pPr>
            <w:r>
              <w:rPr>
                <w:color w:val="auto"/>
                <w:sz w:val="24"/>
                <w:szCs w:val="24"/>
              </w:rPr>
              <w:t>Tiêu chí 5</w:t>
            </w:r>
          </w:p>
        </w:tc>
        <w:tc>
          <w:tcPr>
            <w:tcW w:w="1308" w:type="dxa"/>
            <w:vMerge w:val="continue"/>
          </w:tcPr>
          <w:p w14:paraId="286CE85E">
            <w:pPr>
              <w:widowControl w:val="0"/>
              <w:spacing w:line="276" w:lineRule="auto"/>
              <w:rPr>
                <w:color w:val="auto"/>
                <w:sz w:val="24"/>
                <w:szCs w:val="24"/>
              </w:rPr>
            </w:pPr>
          </w:p>
        </w:tc>
        <w:tc>
          <w:tcPr>
            <w:tcW w:w="2410" w:type="dxa"/>
          </w:tcPr>
          <w:p w14:paraId="31781180">
            <w:pPr>
              <w:widowControl w:val="0"/>
              <w:spacing w:line="276" w:lineRule="auto"/>
              <w:ind w:firstLine="284"/>
              <w:jc w:val="both"/>
              <w:rPr>
                <w:color w:val="auto"/>
                <w:sz w:val="24"/>
                <w:szCs w:val="24"/>
              </w:rPr>
            </w:pPr>
            <w:r>
              <w:rPr>
                <w:color w:val="auto"/>
                <w:sz w:val="24"/>
                <w:szCs w:val="24"/>
              </w:rPr>
              <w:t>Nhất trí</w:t>
            </w:r>
          </w:p>
        </w:tc>
      </w:tr>
      <w:tr w14:paraId="2E8D1A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04" w:type="dxa"/>
          </w:tcPr>
          <w:p w14:paraId="630F342E">
            <w:pPr>
              <w:numPr>
                <w:ilvl w:val="0"/>
                <w:numId w:val="6"/>
              </w:numPr>
              <w:tabs>
                <w:tab w:val="left" w:pos="425"/>
              </w:tabs>
              <w:jc w:val="center"/>
              <w:rPr>
                <w:color w:val="auto"/>
                <w:sz w:val="24"/>
                <w:szCs w:val="24"/>
              </w:rPr>
            </w:pPr>
          </w:p>
        </w:tc>
        <w:tc>
          <w:tcPr>
            <w:tcW w:w="1843" w:type="dxa"/>
          </w:tcPr>
          <w:p w14:paraId="10D35168">
            <w:pPr>
              <w:jc w:val="both"/>
              <w:rPr>
                <w:color w:val="auto"/>
                <w:sz w:val="24"/>
                <w:szCs w:val="24"/>
              </w:rPr>
            </w:pPr>
            <w:r>
              <w:rPr>
                <w:color w:val="auto"/>
                <w:sz w:val="24"/>
                <w:szCs w:val="24"/>
              </w:rPr>
              <w:t>Nghị định số 163/2024/NĐ-CP ngày 24/12/2024 quy định chi tiết một số điều và biện pháp thi hành Luật Viễn thông</w:t>
            </w:r>
          </w:p>
        </w:tc>
        <w:tc>
          <w:tcPr>
            <w:tcW w:w="1417" w:type="dxa"/>
          </w:tcPr>
          <w:p w14:paraId="35BC7C0E">
            <w:pPr>
              <w:spacing w:before="120"/>
              <w:jc w:val="both"/>
              <w:rPr>
                <w:color w:val="auto"/>
                <w:sz w:val="24"/>
                <w:szCs w:val="24"/>
              </w:rPr>
            </w:pPr>
            <w:r>
              <w:rPr>
                <w:color w:val="auto"/>
                <w:sz w:val="24"/>
                <w:szCs w:val="24"/>
              </w:rPr>
              <w:t>Tình hình thực tiễn, Luật Quy hoạch, Luật Chất lượng sản phẩm, hàng hóa (sửa đổi, bổ sung năm 2025)</w:t>
            </w:r>
          </w:p>
          <w:p w14:paraId="5C1739AB">
            <w:pPr>
              <w:spacing w:before="120"/>
              <w:jc w:val="both"/>
              <w:rPr>
                <w:color w:val="auto"/>
                <w:sz w:val="24"/>
                <w:szCs w:val="24"/>
              </w:rPr>
            </w:pPr>
          </w:p>
        </w:tc>
        <w:tc>
          <w:tcPr>
            <w:tcW w:w="4051" w:type="dxa"/>
          </w:tcPr>
          <w:p w14:paraId="119E6A22">
            <w:pPr>
              <w:spacing w:after="120"/>
              <w:ind w:right="-33"/>
              <w:jc w:val="both"/>
              <w:rPr>
                <w:color w:val="auto"/>
                <w:sz w:val="24"/>
                <w:szCs w:val="24"/>
              </w:rPr>
            </w:pPr>
            <w:r>
              <w:rPr>
                <w:color w:val="auto"/>
                <w:sz w:val="24"/>
                <w:szCs w:val="24"/>
              </w:rPr>
              <w:t>Theo quy định tại Điều 31, điều kiện triển khai mạng viễn thông cố định mặt đất được căn cứ theo phạm vi thiết lập mạng (thiết lập mạng trong phạm vi 01 tỉnh một tỉnh, thành phố trực thuộc trung ương; thiết lập mạng trong phạm vi khu vực: từ 02 đến 30 tỉnh, thành phố trực thuộc trung ương; thiết lập mạng trong phạm vi toàn quốc: trên 30 tỉnh, thành phố trực thuộc trung ương). Do đó, khi triển khai phương án sáp nhập đơn vị hành chính cấp tỉnh (quy mô tỉnh, số lượng tỉnh) thì cần rà soát, điều chỉnh lại quy định về điều kiện triển khai mạng viễn thông cố định mặt đất tại Điều 31 cho phù hợp)</w:t>
            </w:r>
          </w:p>
          <w:p w14:paraId="748778BF">
            <w:pPr>
              <w:spacing w:after="120"/>
              <w:ind w:right="-33"/>
              <w:jc w:val="both"/>
              <w:rPr>
                <w:color w:val="auto"/>
                <w:sz w:val="24"/>
                <w:szCs w:val="24"/>
              </w:rPr>
            </w:pPr>
            <w:r>
              <w:rPr>
                <w:color w:val="auto"/>
                <w:sz w:val="24"/>
                <w:szCs w:val="24"/>
              </w:rPr>
              <w:t>Nghị định đang quy định việc lập quy hoạch hạ tầng kỹ thuật viễn thông thụ động tại địa phương (cấp tỉnh), nội dung quy hoạch thực hiện đến cấp huyện. Do đó, khi thực hiện không tổ chức cấp huyện, sáp nhập cấp xã và xây dựng mô hình tổ chức chính quyền địa phương 2 cấp thì cần sửa đổi Nghị định. Luật Quy hoạch có hiệu lực từ ngày 01/3/2026 đã sửa đổi, bổ sung Luật Viễn thông trong đó đã thay thế “quy hoạch hạ tầng kỹ thuật viễn thông thụ động” bằng cụm từ “phương hướng phát triển hạ tầng kỹ thuật viễn thông thụ động trong quy hoạch tỉnh”.</w:t>
            </w:r>
          </w:p>
          <w:p w14:paraId="20114EEC">
            <w:pPr>
              <w:jc w:val="both"/>
              <w:rPr>
                <w:color w:val="auto"/>
                <w:sz w:val="24"/>
                <w:szCs w:val="24"/>
              </w:rPr>
            </w:pPr>
            <w:r>
              <w:rPr>
                <w:color w:val="auto"/>
                <w:sz w:val="24"/>
                <w:szCs w:val="24"/>
              </w:rPr>
              <w:t>Thực tiễn có trường hợp doanh nghiệp đề nghị được gia hạn thời gian cho tàu vào lắp đặt, sửa chữa tuyến cáp viễn thông trên biển nhưng Nghị định 163/2024/NĐ-CP chưa có quy định cho vấn đề này. Do đó, đề xuất bổ sung thêm quy định gia hạn thời gian cho tàu vào lắp đặt, sửa chữa tuyến cáp viễn thông trên biển.</w:t>
            </w:r>
          </w:p>
          <w:p w14:paraId="50E62B59">
            <w:pPr>
              <w:jc w:val="both"/>
              <w:rPr>
                <w:color w:val="auto"/>
                <w:sz w:val="24"/>
                <w:szCs w:val="24"/>
              </w:rPr>
            </w:pPr>
            <w:r>
              <w:rPr>
                <w:color w:val="auto"/>
                <w:sz w:val="24"/>
                <w:szCs w:val="24"/>
              </w:rPr>
              <w:t>Luật Chất lượng sản phẩm hàng hóa (sửa đổi, bổ sung năm 2025) không còn khái niệm Danh mục thiết bị viễn thông có khả năng gây mất an toàn, thay vào đó là Danh mục sản phẩm, hàng hóa có mức độ rủi ro trung bình, mức độ rủi ro cao.</w:t>
            </w:r>
          </w:p>
        </w:tc>
        <w:tc>
          <w:tcPr>
            <w:tcW w:w="1394" w:type="dxa"/>
            <w:vAlign w:val="top"/>
          </w:tcPr>
          <w:p w14:paraId="5375863C">
            <w:pPr>
              <w:jc w:val="center"/>
              <w:rPr>
                <w:color w:val="auto"/>
                <w:sz w:val="24"/>
                <w:szCs w:val="24"/>
              </w:rPr>
            </w:pPr>
            <w:r>
              <w:rPr>
                <w:rFonts w:hint="default"/>
                <w:color w:val="auto"/>
                <w:sz w:val="24"/>
                <w:szCs w:val="24"/>
                <w:lang w:val="en-US"/>
              </w:rPr>
              <w:t>S</w:t>
            </w:r>
            <w:r>
              <w:rPr>
                <w:color w:val="auto"/>
                <w:sz w:val="24"/>
                <w:szCs w:val="24"/>
              </w:rPr>
              <w:t>ửa đổi, bổ sung</w:t>
            </w:r>
          </w:p>
        </w:tc>
        <w:tc>
          <w:tcPr>
            <w:tcW w:w="1275" w:type="dxa"/>
            <w:vAlign w:val="top"/>
          </w:tcPr>
          <w:p w14:paraId="4951C6C9">
            <w:pPr>
              <w:jc w:val="center"/>
              <w:rPr>
                <w:color w:val="auto"/>
                <w:sz w:val="24"/>
                <w:szCs w:val="24"/>
              </w:rPr>
            </w:pPr>
            <w:r>
              <w:rPr>
                <w:rFonts w:hint="default"/>
                <w:color w:val="auto"/>
                <w:sz w:val="24"/>
                <w:szCs w:val="24"/>
                <w:lang w:val="en-US"/>
              </w:rPr>
              <w:t>Tháng 12/</w:t>
            </w:r>
            <w:r>
              <w:rPr>
                <w:color w:val="auto"/>
                <w:sz w:val="24"/>
                <w:szCs w:val="24"/>
              </w:rPr>
              <w:t>2026</w:t>
            </w:r>
          </w:p>
        </w:tc>
        <w:tc>
          <w:tcPr>
            <w:tcW w:w="1245" w:type="dxa"/>
          </w:tcPr>
          <w:p w14:paraId="31C61B39">
            <w:pPr>
              <w:jc w:val="center"/>
              <w:rPr>
                <w:color w:val="auto"/>
                <w:sz w:val="24"/>
                <w:szCs w:val="24"/>
              </w:rPr>
            </w:pPr>
            <w:r>
              <w:rPr>
                <w:color w:val="auto"/>
                <w:sz w:val="24"/>
                <w:szCs w:val="24"/>
              </w:rPr>
              <w:t>Tiêu chí  2</w:t>
            </w:r>
            <w:r>
              <w:rPr>
                <w:rFonts w:hint="default"/>
                <w:color w:val="auto"/>
                <w:sz w:val="24"/>
                <w:szCs w:val="24"/>
                <w:lang w:val="en-US"/>
              </w:rPr>
              <w:t>.3</w:t>
            </w:r>
            <w:r>
              <w:rPr>
                <w:color w:val="auto"/>
                <w:sz w:val="24"/>
                <w:szCs w:val="24"/>
              </w:rPr>
              <w:t xml:space="preserve">, </w:t>
            </w:r>
            <w:r>
              <w:rPr>
                <w:rFonts w:hint="default"/>
                <w:color w:val="auto"/>
                <w:sz w:val="24"/>
                <w:szCs w:val="24"/>
                <w:lang w:val="en-US"/>
              </w:rPr>
              <w:t xml:space="preserve">Tiêu chí </w:t>
            </w:r>
            <w:r>
              <w:rPr>
                <w:color w:val="auto"/>
                <w:sz w:val="24"/>
                <w:szCs w:val="24"/>
              </w:rPr>
              <w:t>5</w:t>
            </w:r>
          </w:p>
        </w:tc>
        <w:tc>
          <w:tcPr>
            <w:tcW w:w="1308" w:type="dxa"/>
          </w:tcPr>
          <w:p w14:paraId="56DBBDE4">
            <w:pPr>
              <w:jc w:val="center"/>
              <w:rPr>
                <w:color w:val="auto"/>
                <w:sz w:val="24"/>
                <w:szCs w:val="24"/>
              </w:rPr>
            </w:pPr>
          </w:p>
        </w:tc>
        <w:tc>
          <w:tcPr>
            <w:tcW w:w="2410" w:type="dxa"/>
          </w:tcPr>
          <w:p w14:paraId="1635DEBF">
            <w:pPr>
              <w:ind w:firstLine="284"/>
              <w:jc w:val="both"/>
              <w:rPr>
                <w:color w:val="auto"/>
                <w:sz w:val="24"/>
                <w:szCs w:val="24"/>
              </w:rPr>
            </w:pPr>
            <w:r>
              <w:rPr>
                <w:color w:val="auto"/>
                <w:sz w:val="24"/>
                <w:szCs w:val="24"/>
              </w:rPr>
              <w:t>Nhất trí</w:t>
            </w:r>
          </w:p>
        </w:tc>
      </w:tr>
      <w:tr w14:paraId="14CAB3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04" w:type="dxa"/>
          </w:tcPr>
          <w:p w14:paraId="7B405834">
            <w:pPr>
              <w:numPr>
                <w:ilvl w:val="0"/>
                <w:numId w:val="6"/>
              </w:numPr>
              <w:tabs>
                <w:tab w:val="left" w:pos="425"/>
              </w:tabs>
              <w:jc w:val="center"/>
              <w:rPr>
                <w:color w:val="auto"/>
                <w:sz w:val="24"/>
                <w:szCs w:val="24"/>
              </w:rPr>
            </w:pPr>
          </w:p>
        </w:tc>
        <w:tc>
          <w:tcPr>
            <w:tcW w:w="1843" w:type="dxa"/>
          </w:tcPr>
          <w:p w14:paraId="3CFDB91F">
            <w:pPr>
              <w:jc w:val="both"/>
              <w:rPr>
                <w:rFonts w:hint="default"/>
                <w:color w:val="auto"/>
                <w:sz w:val="24"/>
                <w:szCs w:val="24"/>
                <w:lang w:val="en-US"/>
              </w:rPr>
            </w:pPr>
            <w:r>
              <w:rPr>
                <w:color w:val="auto"/>
                <w:sz w:val="24"/>
                <w:szCs w:val="24"/>
              </w:rPr>
              <w:t>Nghị định số 115/2025/NĐ-CP</w:t>
            </w:r>
            <w:r>
              <w:rPr>
                <w:rFonts w:hint="default"/>
                <w:color w:val="auto"/>
                <w:sz w:val="24"/>
                <w:szCs w:val="24"/>
                <w:lang w:val="en-US"/>
              </w:rPr>
              <w:t xml:space="preserve"> ngày 03/6/2025 của Chính phủ quy định chi tiết một số điều của Luật Viễn thông về quản lý kho số viễn thông, tài nguyên Internet; việc bồi thường khi nhà nước thu hồi mã, số viễn thông, tài nguyên Internet; đấu giá quyền sử dụng mã, số viễn thông, tên miền quốc gia Việt Nam ".vn"</w:t>
            </w:r>
          </w:p>
        </w:tc>
        <w:tc>
          <w:tcPr>
            <w:tcW w:w="1417" w:type="dxa"/>
          </w:tcPr>
          <w:p w14:paraId="37E84141">
            <w:pPr>
              <w:spacing w:before="120"/>
              <w:jc w:val="both"/>
              <w:rPr>
                <w:color w:val="auto"/>
                <w:sz w:val="24"/>
                <w:szCs w:val="24"/>
              </w:rPr>
            </w:pPr>
            <w:r>
              <w:rPr>
                <w:color w:val="auto"/>
                <w:sz w:val="24"/>
                <w:szCs w:val="24"/>
              </w:rPr>
              <w:t>Nghị quyết số 66.18/2026/NQ-CP ngày 15/5/2026 của Chính phủ quy định cắt giảm các thủ tục hành chính, điều kiện kinh doanh, Nghị quyết số 20/2026/NQ-CP ngày 29/4/2026 của Chính phủ phân cấp, cắt giảm, đơn giản hóa thủ tục hành chính, điều kiện kinh doanh thuộc phạm vi quản lý nhà nước của Bộ Khoa học</w:t>
            </w:r>
            <w:r>
              <w:rPr>
                <w:rFonts w:hint="default"/>
                <w:color w:val="auto"/>
                <w:sz w:val="24"/>
                <w:szCs w:val="24"/>
                <w:lang w:val="en-US"/>
              </w:rPr>
              <w:t xml:space="preserve"> </w:t>
            </w:r>
            <w:r>
              <w:rPr>
                <w:color w:val="auto"/>
                <w:sz w:val="24"/>
                <w:szCs w:val="24"/>
              </w:rPr>
              <w:t>và Công nghệ</w:t>
            </w:r>
          </w:p>
        </w:tc>
        <w:tc>
          <w:tcPr>
            <w:tcW w:w="4051" w:type="dxa"/>
          </w:tcPr>
          <w:p w14:paraId="0B571B7D">
            <w:pPr>
              <w:jc w:val="both"/>
              <w:rPr>
                <w:color w:val="auto"/>
                <w:sz w:val="24"/>
                <w:szCs w:val="24"/>
              </w:rPr>
            </w:pPr>
            <w:r>
              <w:rPr>
                <w:color w:val="auto"/>
                <w:sz w:val="24"/>
                <w:szCs w:val="24"/>
              </w:rPr>
              <w:t>Điều 6, Điều 7, Điều 26, Điều 48</w:t>
            </w:r>
          </w:p>
          <w:p w14:paraId="374C4425">
            <w:pPr>
              <w:jc w:val="both"/>
              <w:rPr>
                <w:color w:val="auto"/>
                <w:sz w:val="24"/>
                <w:szCs w:val="24"/>
              </w:rPr>
            </w:pPr>
            <w:r>
              <w:rPr>
                <w:color w:val="auto"/>
                <w:sz w:val="24"/>
                <w:szCs w:val="24"/>
              </w:rPr>
              <w:t xml:space="preserve"> Chưa đồng bộ với các quy định phân cấp về địa phương, quy đinh giản hóa, cắt giảm TTHC theo Nghị quyết số 66/NQ-CP của Chính phủ, Nghị quyết số 20/2026/NQ-CP Nghị định số 133/2025/NĐ-CP, Nghị định 15/2026/NĐ-CP </w:t>
            </w:r>
          </w:p>
        </w:tc>
        <w:tc>
          <w:tcPr>
            <w:tcW w:w="1394" w:type="dxa"/>
            <w:vAlign w:val="top"/>
          </w:tcPr>
          <w:p w14:paraId="5D3C3A78">
            <w:pPr>
              <w:jc w:val="center"/>
              <w:rPr>
                <w:color w:val="auto"/>
                <w:sz w:val="24"/>
                <w:szCs w:val="24"/>
              </w:rPr>
            </w:pPr>
            <w:r>
              <w:rPr>
                <w:rFonts w:hint="default"/>
                <w:color w:val="auto"/>
                <w:sz w:val="24"/>
                <w:szCs w:val="24"/>
                <w:lang w:val="en-US"/>
              </w:rPr>
              <w:t>S</w:t>
            </w:r>
            <w:r>
              <w:rPr>
                <w:color w:val="auto"/>
                <w:sz w:val="24"/>
                <w:szCs w:val="24"/>
              </w:rPr>
              <w:t>ửa đổi, bổ sung</w:t>
            </w:r>
          </w:p>
        </w:tc>
        <w:tc>
          <w:tcPr>
            <w:tcW w:w="1275" w:type="dxa"/>
            <w:vAlign w:val="top"/>
          </w:tcPr>
          <w:p w14:paraId="3BD938D9">
            <w:pPr>
              <w:jc w:val="center"/>
              <w:rPr>
                <w:color w:val="auto"/>
                <w:sz w:val="24"/>
                <w:szCs w:val="24"/>
              </w:rPr>
            </w:pPr>
            <w:r>
              <w:rPr>
                <w:rFonts w:hint="default"/>
                <w:color w:val="auto"/>
                <w:sz w:val="24"/>
                <w:szCs w:val="24"/>
                <w:lang w:val="en-US"/>
              </w:rPr>
              <w:t>Tháng 12/</w:t>
            </w:r>
            <w:r>
              <w:rPr>
                <w:color w:val="auto"/>
                <w:sz w:val="24"/>
                <w:szCs w:val="24"/>
              </w:rPr>
              <w:t>2026</w:t>
            </w:r>
          </w:p>
        </w:tc>
        <w:tc>
          <w:tcPr>
            <w:tcW w:w="1245" w:type="dxa"/>
          </w:tcPr>
          <w:p w14:paraId="6F49FB70">
            <w:pPr>
              <w:jc w:val="center"/>
              <w:rPr>
                <w:rFonts w:hint="default"/>
                <w:color w:val="auto"/>
                <w:sz w:val="24"/>
                <w:szCs w:val="24"/>
                <w:lang w:val="en-US"/>
              </w:rPr>
            </w:pPr>
            <w:r>
              <w:rPr>
                <w:color w:val="auto"/>
                <w:sz w:val="24"/>
                <w:szCs w:val="24"/>
              </w:rPr>
              <w:t>Tiêu chí 2</w:t>
            </w:r>
            <w:r>
              <w:rPr>
                <w:rFonts w:hint="default"/>
                <w:color w:val="auto"/>
                <w:sz w:val="24"/>
                <w:szCs w:val="24"/>
                <w:lang w:val="en-US"/>
              </w:rPr>
              <w:t>.3</w:t>
            </w:r>
          </w:p>
        </w:tc>
        <w:tc>
          <w:tcPr>
            <w:tcW w:w="1308" w:type="dxa"/>
          </w:tcPr>
          <w:p w14:paraId="05B7B8BC">
            <w:pPr>
              <w:jc w:val="center"/>
              <w:rPr>
                <w:color w:val="auto"/>
                <w:sz w:val="24"/>
                <w:szCs w:val="24"/>
              </w:rPr>
            </w:pPr>
          </w:p>
        </w:tc>
        <w:tc>
          <w:tcPr>
            <w:tcW w:w="2410" w:type="dxa"/>
          </w:tcPr>
          <w:p w14:paraId="057E2EC2">
            <w:pPr>
              <w:ind w:firstLine="284"/>
              <w:jc w:val="both"/>
              <w:rPr>
                <w:color w:val="auto"/>
                <w:sz w:val="24"/>
                <w:szCs w:val="24"/>
              </w:rPr>
            </w:pPr>
            <w:r>
              <w:rPr>
                <w:color w:val="auto"/>
                <w:sz w:val="24"/>
                <w:szCs w:val="24"/>
              </w:rPr>
              <w:t>- Nhât trí</w:t>
            </w:r>
          </w:p>
          <w:p w14:paraId="5F85CD9A">
            <w:pPr>
              <w:ind w:firstLine="284"/>
              <w:jc w:val="both"/>
              <w:rPr>
                <w:color w:val="auto"/>
                <w:sz w:val="24"/>
                <w:szCs w:val="24"/>
              </w:rPr>
            </w:pPr>
            <w:r>
              <w:rPr>
                <w:color w:val="auto"/>
                <w:sz w:val="24"/>
                <w:szCs w:val="24"/>
              </w:rPr>
              <w:t>-  Chỉnh lý tên văn bản được rà soát, văn bản  làm căn cứ rà soát cho đầy đù.</w:t>
            </w:r>
          </w:p>
        </w:tc>
      </w:tr>
      <w:tr w14:paraId="4202A1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04" w:type="dxa"/>
          </w:tcPr>
          <w:p w14:paraId="493B7A3A">
            <w:pPr>
              <w:numPr>
                <w:ilvl w:val="0"/>
                <w:numId w:val="6"/>
              </w:numPr>
              <w:tabs>
                <w:tab w:val="left" w:pos="425"/>
              </w:tabs>
              <w:jc w:val="center"/>
              <w:rPr>
                <w:color w:val="auto"/>
                <w:sz w:val="24"/>
                <w:szCs w:val="24"/>
              </w:rPr>
            </w:pPr>
          </w:p>
        </w:tc>
        <w:tc>
          <w:tcPr>
            <w:tcW w:w="1843" w:type="dxa"/>
          </w:tcPr>
          <w:p w14:paraId="2D989CE1">
            <w:pPr>
              <w:jc w:val="both"/>
              <w:rPr>
                <w:rFonts w:hint="default"/>
                <w:color w:val="auto"/>
                <w:sz w:val="24"/>
                <w:szCs w:val="24"/>
                <w:lang w:val="en-US"/>
              </w:rPr>
            </w:pPr>
            <w:r>
              <w:rPr>
                <w:color w:val="auto"/>
                <w:sz w:val="24"/>
                <w:szCs w:val="24"/>
              </w:rPr>
              <w:t>Thông tư số 08/2013/TT-BTTTT</w:t>
            </w:r>
            <w:r>
              <w:rPr>
                <w:rFonts w:hint="default"/>
                <w:color w:val="auto"/>
                <w:sz w:val="24"/>
                <w:szCs w:val="24"/>
                <w:lang w:val="en-US"/>
              </w:rPr>
              <w:t xml:space="preserve"> ngày 26/3/2013 </w:t>
            </w:r>
            <w:r>
              <w:rPr>
                <w:color w:val="auto"/>
                <w:sz w:val="24"/>
                <w:szCs w:val="24"/>
              </w:rPr>
              <w:t>quy định về quản lý chất lượng dịch vụ viễn thông do Bộ trưởng Bộ Thông tin và Truyền thông ban hành</w:t>
            </w:r>
          </w:p>
        </w:tc>
        <w:tc>
          <w:tcPr>
            <w:tcW w:w="1417" w:type="dxa"/>
          </w:tcPr>
          <w:p w14:paraId="61D86169">
            <w:pPr>
              <w:jc w:val="both"/>
              <w:rPr>
                <w:color w:val="auto"/>
                <w:sz w:val="24"/>
                <w:szCs w:val="24"/>
              </w:rPr>
            </w:pPr>
            <w:r>
              <w:rPr>
                <w:color w:val="auto"/>
                <w:sz w:val="24"/>
                <w:szCs w:val="24"/>
              </w:rPr>
              <w:t>Luật Viễn thông năm 2023</w:t>
            </w:r>
          </w:p>
        </w:tc>
        <w:tc>
          <w:tcPr>
            <w:tcW w:w="4051" w:type="dxa"/>
          </w:tcPr>
          <w:p w14:paraId="249005B6">
            <w:pPr>
              <w:jc w:val="both"/>
              <w:rPr>
                <w:color w:val="auto"/>
                <w:sz w:val="24"/>
                <w:szCs w:val="24"/>
              </w:rPr>
            </w:pPr>
            <w:r>
              <w:rPr>
                <w:color w:val="auto"/>
                <w:sz w:val="24"/>
                <w:szCs w:val="24"/>
              </w:rPr>
              <w:t>Thông tư số 08/2013/TT-BTTTT được sửa đổi, bổ sung nhiều lần (Thông tư số 33/2020/TT-BTTTT, Thông tư số 21/2026TT-KHCN). Bên cạnh đó, Thông tư số 08/2013/TT-BTTTT được ban hành trước thời điểm Luật Viễn thông năm 2023 có hiệu lực, do đó cần được rà soát, cập nhật để bảo đảm tính đồng bộ, thống nhất của hệ thống pháp luật và phù hợp với yêu cầu phát triển hạ tầng số.</w:t>
            </w:r>
          </w:p>
        </w:tc>
        <w:tc>
          <w:tcPr>
            <w:tcW w:w="1394" w:type="dxa"/>
          </w:tcPr>
          <w:p w14:paraId="36E839FF">
            <w:pPr>
              <w:jc w:val="center"/>
              <w:rPr>
                <w:color w:val="auto"/>
                <w:sz w:val="24"/>
                <w:szCs w:val="24"/>
              </w:rPr>
            </w:pPr>
            <w:r>
              <w:rPr>
                <w:color w:val="auto"/>
                <w:sz w:val="24"/>
                <w:szCs w:val="24"/>
              </w:rPr>
              <w:t xml:space="preserve">Thay thế </w:t>
            </w:r>
          </w:p>
        </w:tc>
        <w:tc>
          <w:tcPr>
            <w:tcW w:w="1275" w:type="dxa"/>
          </w:tcPr>
          <w:p w14:paraId="50A65505">
            <w:pPr>
              <w:jc w:val="center"/>
              <w:rPr>
                <w:color w:val="auto"/>
                <w:sz w:val="24"/>
                <w:szCs w:val="24"/>
              </w:rPr>
            </w:pPr>
            <w:r>
              <w:rPr>
                <w:rFonts w:hint="default"/>
                <w:color w:val="auto"/>
                <w:sz w:val="24"/>
                <w:szCs w:val="24"/>
                <w:lang w:val="en-US"/>
              </w:rPr>
              <w:t>Tháng 12/</w:t>
            </w:r>
            <w:r>
              <w:rPr>
                <w:color w:val="auto"/>
                <w:sz w:val="24"/>
                <w:szCs w:val="24"/>
              </w:rPr>
              <w:t>2026</w:t>
            </w:r>
          </w:p>
        </w:tc>
        <w:tc>
          <w:tcPr>
            <w:tcW w:w="1245" w:type="dxa"/>
          </w:tcPr>
          <w:p w14:paraId="365DE2B7">
            <w:pPr>
              <w:jc w:val="center"/>
              <w:rPr>
                <w:color w:val="auto"/>
                <w:sz w:val="24"/>
                <w:szCs w:val="24"/>
              </w:rPr>
            </w:pPr>
            <w:r>
              <w:rPr>
                <w:color w:val="auto"/>
                <w:sz w:val="24"/>
                <w:szCs w:val="24"/>
              </w:rPr>
              <w:t>Tiêu chí  2</w:t>
            </w:r>
          </w:p>
        </w:tc>
        <w:tc>
          <w:tcPr>
            <w:tcW w:w="1308" w:type="dxa"/>
          </w:tcPr>
          <w:p w14:paraId="38B311CE">
            <w:pPr>
              <w:jc w:val="center"/>
              <w:rPr>
                <w:color w:val="auto"/>
                <w:sz w:val="24"/>
                <w:szCs w:val="24"/>
              </w:rPr>
            </w:pPr>
          </w:p>
        </w:tc>
        <w:tc>
          <w:tcPr>
            <w:tcW w:w="2410" w:type="dxa"/>
          </w:tcPr>
          <w:p w14:paraId="00CBD93E">
            <w:pPr>
              <w:ind w:firstLine="284"/>
              <w:jc w:val="both"/>
              <w:rPr>
                <w:color w:val="auto"/>
                <w:sz w:val="24"/>
                <w:szCs w:val="24"/>
              </w:rPr>
            </w:pPr>
            <w:r>
              <w:rPr>
                <w:color w:val="auto"/>
                <w:sz w:val="24"/>
                <w:szCs w:val="24"/>
              </w:rPr>
              <w:t>- Nhất trí</w:t>
            </w:r>
          </w:p>
          <w:p w14:paraId="27BB723A">
            <w:pPr>
              <w:ind w:firstLine="284"/>
              <w:jc w:val="both"/>
              <w:rPr>
                <w:color w:val="auto"/>
                <w:sz w:val="24"/>
                <w:szCs w:val="24"/>
              </w:rPr>
            </w:pPr>
            <w:r>
              <w:rPr>
                <w:color w:val="auto"/>
                <w:sz w:val="24"/>
                <w:szCs w:val="24"/>
              </w:rPr>
              <w:t>- Chỉnh lý tên văn bản được rà soát cho đầy đủ.</w:t>
            </w:r>
          </w:p>
          <w:p w14:paraId="78DC9A8D">
            <w:pPr>
              <w:ind w:firstLine="284"/>
              <w:jc w:val="both"/>
              <w:rPr>
                <w:color w:val="auto"/>
                <w:sz w:val="24"/>
                <w:szCs w:val="24"/>
              </w:rPr>
            </w:pPr>
          </w:p>
        </w:tc>
      </w:tr>
      <w:tr w14:paraId="605672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04" w:type="dxa"/>
          </w:tcPr>
          <w:p w14:paraId="1EC16481">
            <w:pPr>
              <w:numPr>
                <w:ilvl w:val="0"/>
                <w:numId w:val="6"/>
              </w:numPr>
              <w:tabs>
                <w:tab w:val="left" w:pos="425"/>
              </w:tabs>
              <w:jc w:val="center"/>
              <w:rPr>
                <w:color w:val="auto"/>
                <w:sz w:val="24"/>
                <w:szCs w:val="24"/>
              </w:rPr>
            </w:pPr>
          </w:p>
        </w:tc>
        <w:tc>
          <w:tcPr>
            <w:tcW w:w="1843" w:type="dxa"/>
          </w:tcPr>
          <w:p w14:paraId="6D173D26">
            <w:pPr>
              <w:jc w:val="both"/>
              <w:rPr>
                <w:rFonts w:hint="default"/>
                <w:color w:val="auto"/>
                <w:sz w:val="24"/>
                <w:szCs w:val="24"/>
                <w:lang w:val="en-US"/>
              </w:rPr>
            </w:pPr>
            <w:r>
              <w:rPr>
                <w:color w:val="auto"/>
                <w:sz w:val="24"/>
                <w:szCs w:val="24"/>
              </w:rPr>
              <w:t>Thông tư số 13/201</w:t>
            </w:r>
            <w:r>
              <w:rPr>
                <w:rFonts w:hint="default"/>
                <w:color w:val="auto"/>
                <w:sz w:val="24"/>
                <w:szCs w:val="24"/>
                <w:lang w:val="en-US"/>
              </w:rPr>
              <w:t>6</w:t>
            </w:r>
            <w:r>
              <w:rPr>
                <w:color w:val="auto"/>
                <w:sz w:val="24"/>
                <w:szCs w:val="24"/>
              </w:rPr>
              <w:t>/TT-BTTT</w:t>
            </w:r>
            <w:r>
              <w:rPr>
                <w:rFonts w:hint="default"/>
                <w:color w:val="auto"/>
                <w:sz w:val="24"/>
                <w:szCs w:val="24"/>
                <w:lang w:val="en-US"/>
              </w:rPr>
              <w:t xml:space="preserve"> ngày 25/5/2016 q</w:t>
            </w:r>
            <w:r>
              <w:rPr>
                <w:color w:val="auto"/>
                <w:sz w:val="24"/>
                <w:szCs w:val="24"/>
              </w:rPr>
              <w:t>uy định một số nội dung liên quan đến giá cước kết nối dịch vụ điện thoại quốc tế chiều về</w:t>
            </w:r>
          </w:p>
        </w:tc>
        <w:tc>
          <w:tcPr>
            <w:tcW w:w="1417" w:type="dxa"/>
          </w:tcPr>
          <w:p w14:paraId="5ADABFDC">
            <w:pPr>
              <w:jc w:val="both"/>
              <w:rPr>
                <w:color w:val="auto"/>
                <w:sz w:val="24"/>
                <w:szCs w:val="24"/>
              </w:rPr>
            </w:pPr>
            <w:r>
              <w:rPr>
                <w:color w:val="auto"/>
                <w:sz w:val="24"/>
                <w:szCs w:val="24"/>
              </w:rPr>
              <w:t xml:space="preserve">Luật thuế </w:t>
            </w:r>
            <w:r>
              <w:rPr>
                <w:rFonts w:hint="default"/>
                <w:color w:val="auto"/>
                <w:sz w:val="24"/>
                <w:szCs w:val="24"/>
                <w:lang w:val="en-US"/>
              </w:rPr>
              <w:t>Giá trị gia tăng</w:t>
            </w:r>
            <w:r>
              <w:rPr>
                <w:color w:val="auto"/>
                <w:sz w:val="24"/>
                <w:szCs w:val="24"/>
              </w:rPr>
              <w:t xml:space="preserve"> số 48/2024/QH15</w:t>
            </w:r>
          </w:p>
        </w:tc>
        <w:tc>
          <w:tcPr>
            <w:tcW w:w="4051" w:type="dxa"/>
          </w:tcPr>
          <w:p w14:paraId="5C46DC5D">
            <w:pPr>
              <w:jc w:val="both"/>
              <w:rPr>
                <w:rFonts w:hint="default"/>
                <w:color w:val="auto"/>
                <w:sz w:val="24"/>
                <w:szCs w:val="24"/>
              </w:rPr>
            </w:pPr>
            <w:r>
              <w:rPr>
                <w:color w:val="auto"/>
                <w:sz w:val="24"/>
                <w:szCs w:val="24"/>
              </w:rPr>
              <w:t xml:space="preserve">Điều 4 quy định giá cước kết nối dịch vụ điện thoại quốc tế chiều về. </w:t>
            </w:r>
            <w:r>
              <w:rPr>
                <w:rFonts w:hint="default"/>
                <w:color w:val="auto"/>
                <w:sz w:val="24"/>
                <w:szCs w:val="24"/>
                <w:lang w:val="en-US"/>
              </w:rPr>
              <w:t>Theo đó, g</w:t>
            </w:r>
            <w:r>
              <w:rPr>
                <w:color w:val="auto"/>
                <w:sz w:val="24"/>
                <w:szCs w:val="24"/>
              </w:rPr>
              <w:t xml:space="preserve">iá cước kết nối này không chịu thuế giá trị gia tăng, </w:t>
            </w:r>
            <w:r>
              <w:rPr>
                <w:rFonts w:hint="default"/>
                <w:color w:val="auto"/>
                <w:sz w:val="24"/>
                <w:szCs w:val="24"/>
                <w:lang w:val="en-US"/>
              </w:rPr>
              <w:t>cần s</w:t>
            </w:r>
            <w:r>
              <w:rPr>
                <w:rFonts w:hint="default"/>
                <w:color w:val="auto"/>
                <w:sz w:val="24"/>
                <w:szCs w:val="24"/>
              </w:rPr>
              <w:t>ửa đổi</w:t>
            </w:r>
            <w:r>
              <w:rPr>
                <w:rFonts w:hint="default"/>
                <w:color w:val="auto"/>
                <w:sz w:val="24"/>
                <w:szCs w:val="24"/>
                <w:lang w:val="en-US"/>
              </w:rPr>
              <w:t>,</w:t>
            </w:r>
            <w:r>
              <w:rPr>
                <w:rFonts w:hint="default"/>
                <w:color w:val="auto"/>
                <w:sz w:val="24"/>
                <w:szCs w:val="24"/>
              </w:rPr>
              <w:t xml:space="preserve"> bổ sung </w:t>
            </w:r>
            <w:r>
              <w:rPr>
                <w:color w:val="auto"/>
                <w:sz w:val="24"/>
                <w:szCs w:val="24"/>
              </w:rPr>
              <w:t>chưa cập nhật so với quy định</w:t>
            </w:r>
            <w:r>
              <w:rPr>
                <w:rFonts w:hint="default"/>
                <w:color w:val="auto"/>
                <w:sz w:val="24"/>
                <w:szCs w:val="24"/>
                <w:lang w:val="en-US"/>
              </w:rPr>
              <w:t xml:space="preserve"> </w:t>
            </w:r>
            <w:r>
              <w:rPr>
                <w:rFonts w:hint="default"/>
                <w:color w:val="auto"/>
                <w:sz w:val="24"/>
                <w:szCs w:val="24"/>
              </w:rPr>
              <w:t>để đồng bộ</w:t>
            </w:r>
            <w:r>
              <w:rPr>
                <w:rFonts w:hint="default"/>
                <w:color w:val="auto"/>
                <w:sz w:val="24"/>
                <w:szCs w:val="24"/>
                <w:lang w:val="en-US"/>
              </w:rPr>
              <w:t xml:space="preserve"> </w:t>
            </w:r>
            <w:r>
              <w:rPr>
                <w:rFonts w:hint="default"/>
                <w:color w:val="auto"/>
                <w:sz w:val="24"/>
                <w:szCs w:val="24"/>
              </w:rPr>
              <w:t>với Điều 4 của Luật thuế</w:t>
            </w:r>
          </w:p>
          <w:p w14:paraId="3788E108">
            <w:pPr>
              <w:jc w:val="both"/>
              <w:rPr>
                <w:color w:val="auto"/>
                <w:sz w:val="24"/>
                <w:szCs w:val="24"/>
              </w:rPr>
            </w:pPr>
            <w:r>
              <w:rPr>
                <w:rFonts w:hint="default"/>
                <w:color w:val="auto"/>
                <w:sz w:val="24"/>
                <w:szCs w:val="24"/>
              </w:rPr>
              <w:t>GTGT năm 2025.</w:t>
            </w:r>
          </w:p>
        </w:tc>
        <w:tc>
          <w:tcPr>
            <w:tcW w:w="1394" w:type="dxa"/>
          </w:tcPr>
          <w:p w14:paraId="795574D9">
            <w:pPr>
              <w:jc w:val="center"/>
              <w:rPr>
                <w:color w:val="auto"/>
                <w:sz w:val="24"/>
                <w:szCs w:val="24"/>
              </w:rPr>
            </w:pPr>
            <w:r>
              <w:rPr>
                <w:color w:val="auto"/>
                <w:sz w:val="24"/>
                <w:szCs w:val="24"/>
              </w:rPr>
              <w:t xml:space="preserve">Sửa đổi, bổ sung </w:t>
            </w:r>
          </w:p>
        </w:tc>
        <w:tc>
          <w:tcPr>
            <w:tcW w:w="1275" w:type="dxa"/>
          </w:tcPr>
          <w:p w14:paraId="055BCFA4">
            <w:pPr>
              <w:jc w:val="center"/>
              <w:rPr>
                <w:color w:val="auto"/>
                <w:sz w:val="24"/>
                <w:szCs w:val="24"/>
              </w:rPr>
            </w:pPr>
            <w:r>
              <w:rPr>
                <w:rFonts w:hint="default"/>
                <w:color w:val="auto"/>
                <w:sz w:val="24"/>
                <w:szCs w:val="24"/>
                <w:lang w:val="en-US"/>
              </w:rPr>
              <w:t>Tháng 12/</w:t>
            </w:r>
            <w:r>
              <w:rPr>
                <w:color w:val="auto"/>
                <w:sz w:val="24"/>
                <w:szCs w:val="24"/>
              </w:rPr>
              <w:t>2027</w:t>
            </w:r>
          </w:p>
        </w:tc>
        <w:tc>
          <w:tcPr>
            <w:tcW w:w="1245" w:type="dxa"/>
          </w:tcPr>
          <w:p w14:paraId="0B79339A">
            <w:pPr>
              <w:jc w:val="center"/>
              <w:rPr>
                <w:color w:val="auto"/>
                <w:sz w:val="24"/>
                <w:szCs w:val="24"/>
              </w:rPr>
            </w:pPr>
            <w:r>
              <w:rPr>
                <w:color w:val="auto"/>
                <w:sz w:val="24"/>
                <w:szCs w:val="24"/>
              </w:rPr>
              <w:t>Tiêu chí  2</w:t>
            </w:r>
          </w:p>
        </w:tc>
        <w:tc>
          <w:tcPr>
            <w:tcW w:w="1308" w:type="dxa"/>
          </w:tcPr>
          <w:p w14:paraId="571C6817">
            <w:pPr>
              <w:jc w:val="center"/>
              <w:rPr>
                <w:color w:val="auto"/>
                <w:sz w:val="24"/>
                <w:szCs w:val="24"/>
              </w:rPr>
            </w:pPr>
          </w:p>
        </w:tc>
        <w:tc>
          <w:tcPr>
            <w:tcW w:w="2410" w:type="dxa"/>
          </w:tcPr>
          <w:p w14:paraId="6F4F8789">
            <w:pPr>
              <w:ind w:firstLine="284"/>
              <w:jc w:val="both"/>
              <w:rPr>
                <w:color w:val="auto"/>
                <w:sz w:val="24"/>
                <w:szCs w:val="24"/>
              </w:rPr>
            </w:pPr>
            <w:r>
              <w:rPr>
                <w:color w:val="auto"/>
                <w:sz w:val="24"/>
                <w:szCs w:val="24"/>
              </w:rPr>
              <w:t>- Cần làm rõ, hoàn thiện thêm các nội dung, quy định cần xử lý của văn bản được rà soát.</w:t>
            </w:r>
          </w:p>
          <w:p w14:paraId="64C309A4">
            <w:pPr>
              <w:ind w:firstLine="284"/>
              <w:jc w:val="both"/>
              <w:rPr>
                <w:color w:val="auto"/>
                <w:sz w:val="24"/>
                <w:szCs w:val="24"/>
              </w:rPr>
            </w:pPr>
            <w:r>
              <w:rPr>
                <w:color w:val="auto"/>
                <w:sz w:val="24"/>
                <w:szCs w:val="24"/>
              </w:rPr>
              <w:t>- Chỉnh lý tên văn bản được rà soát, văn bản làm căn cứ rà soát cho đầy đủ.</w:t>
            </w:r>
          </w:p>
        </w:tc>
      </w:tr>
      <w:tr w14:paraId="2FEF75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04" w:type="dxa"/>
          </w:tcPr>
          <w:p w14:paraId="4DA8476F">
            <w:pPr>
              <w:numPr>
                <w:ilvl w:val="0"/>
                <w:numId w:val="6"/>
              </w:numPr>
              <w:tabs>
                <w:tab w:val="left" w:pos="425"/>
              </w:tabs>
              <w:jc w:val="center"/>
              <w:rPr>
                <w:color w:val="auto"/>
                <w:sz w:val="24"/>
                <w:szCs w:val="24"/>
              </w:rPr>
            </w:pPr>
          </w:p>
        </w:tc>
        <w:tc>
          <w:tcPr>
            <w:tcW w:w="1843" w:type="dxa"/>
          </w:tcPr>
          <w:p w14:paraId="292205C3">
            <w:pPr>
              <w:jc w:val="both"/>
              <w:rPr>
                <w:color w:val="auto"/>
                <w:sz w:val="24"/>
                <w:szCs w:val="24"/>
              </w:rPr>
            </w:pPr>
            <w:r>
              <w:rPr>
                <w:color w:val="auto"/>
                <w:sz w:val="24"/>
                <w:szCs w:val="24"/>
              </w:rPr>
              <w:t>Thông tư 22/2014/TT-BTTTT</w:t>
            </w:r>
            <w:r>
              <w:rPr>
                <w:rFonts w:hint="default"/>
                <w:color w:val="auto"/>
                <w:sz w:val="24"/>
                <w:szCs w:val="24"/>
                <w:lang w:val="en-US"/>
              </w:rPr>
              <w:t xml:space="preserve"> ngày 22/12/2014</w:t>
            </w:r>
            <w:r>
              <w:rPr>
                <w:color w:val="auto"/>
                <w:sz w:val="24"/>
                <w:szCs w:val="24"/>
              </w:rPr>
              <w:t xml:space="preserve"> </w:t>
            </w:r>
            <w:r>
              <w:rPr>
                <w:rFonts w:hint="default"/>
                <w:color w:val="auto"/>
                <w:sz w:val="24"/>
                <w:szCs w:val="24"/>
                <w:lang w:val="en-US"/>
              </w:rPr>
              <w:t>b</w:t>
            </w:r>
            <w:r>
              <w:rPr>
                <w:color w:val="auto"/>
                <w:sz w:val="24"/>
                <w:szCs w:val="24"/>
              </w:rPr>
              <w:t>an hành Quy hoạch kho số viễn thông</w:t>
            </w:r>
          </w:p>
        </w:tc>
        <w:tc>
          <w:tcPr>
            <w:tcW w:w="1417" w:type="dxa"/>
          </w:tcPr>
          <w:p w14:paraId="6EE13CAD">
            <w:pPr>
              <w:jc w:val="both"/>
              <w:rPr>
                <w:color w:val="auto"/>
                <w:sz w:val="24"/>
                <w:szCs w:val="24"/>
              </w:rPr>
            </w:pPr>
            <w:r>
              <w:rPr>
                <w:color w:val="auto"/>
                <w:sz w:val="24"/>
                <w:szCs w:val="24"/>
              </w:rPr>
              <w:t>Tình hình thực tiễn</w:t>
            </w:r>
          </w:p>
        </w:tc>
        <w:tc>
          <w:tcPr>
            <w:tcW w:w="4051" w:type="dxa"/>
          </w:tcPr>
          <w:p w14:paraId="4BC6CD87">
            <w:pPr>
              <w:spacing w:after="120"/>
              <w:ind w:right="134"/>
              <w:jc w:val="both"/>
              <w:rPr>
                <w:color w:val="auto"/>
                <w:sz w:val="24"/>
                <w:szCs w:val="24"/>
              </w:rPr>
            </w:pPr>
            <w:r>
              <w:rPr>
                <w:color w:val="auto"/>
                <w:sz w:val="24"/>
                <w:szCs w:val="24"/>
              </w:rPr>
              <w:t>Khi thực hiện việc sáp nhập tỉnh, thành phố thì cần điều chỉnh quy định về vùng đánh số (mã vùng điện thoại cố định) trong quy hoạch kho số viễn thông cho phù hợp</w:t>
            </w:r>
          </w:p>
        </w:tc>
        <w:tc>
          <w:tcPr>
            <w:tcW w:w="1394" w:type="dxa"/>
          </w:tcPr>
          <w:p w14:paraId="67CDC109">
            <w:pPr>
              <w:jc w:val="both"/>
              <w:rPr>
                <w:color w:val="auto"/>
                <w:sz w:val="24"/>
                <w:szCs w:val="24"/>
              </w:rPr>
            </w:pPr>
            <w:r>
              <w:rPr>
                <w:color w:val="auto"/>
                <w:sz w:val="24"/>
                <w:szCs w:val="24"/>
              </w:rPr>
              <w:t>Thay thế hình thức văn bản thành Quyết định của Bộ trưởng Bộ Khoa học và Công nghệ</w:t>
            </w:r>
          </w:p>
          <w:p w14:paraId="32D73806">
            <w:pPr>
              <w:jc w:val="center"/>
              <w:rPr>
                <w:color w:val="auto"/>
                <w:sz w:val="24"/>
                <w:szCs w:val="24"/>
              </w:rPr>
            </w:pPr>
          </w:p>
        </w:tc>
        <w:tc>
          <w:tcPr>
            <w:tcW w:w="1275" w:type="dxa"/>
          </w:tcPr>
          <w:p w14:paraId="3FB04847">
            <w:pPr>
              <w:jc w:val="center"/>
              <w:rPr>
                <w:color w:val="auto"/>
                <w:sz w:val="24"/>
                <w:szCs w:val="24"/>
              </w:rPr>
            </w:pPr>
            <w:r>
              <w:rPr>
                <w:rFonts w:hint="default"/>
                <w:color w:val="auto"/>
                <w:sz w:val="24"/>
                <w:szCs w:val="24"/>
                <w:lang w:val="en-US"/>
              </w:rPr>
              <w:t>Tháng 12/</w:t>
            </w:r>
            <w:r>
              <w:rPr>
                <w:color w:val="auto"/>
                <w:sz w:val="24"/>
                <w:szCs w:val="24"/>
              </w:rPr>
              <w:t>2026</w:t>
            </w:r>
          </w:p>
        </w:tc>
        <w:tc>
          <w:tcPr>
            <w:tcW w:w="1245" w:type="dxa"/>
          </w:tcPr>
          <w:p w14:paraId="7D21A58B">
            <w:pPr>
              <w:jc w:val="center"/>
              <w:rPr>
                <w:color w:val="auto"/>
                <w:sz w:val="24"/>
                <w:szCs w:val="24"/>
              </w:rPr>
            </w:pPr>
            <w:r>
              <w:rPr>
                <w:color w:val="auto"/>
                <w:sz w:val="24"/>
                <w:szCs w:val="24"/>
              </w:rPr>
              <w:t>Tiêu chí  2</w:t>
            </w:r>
          </w:p>
        </w:tc>
        <w:tc>
          <w:tcPr>
            <w:tcW w:w="1308" w:type="dxa"/>
          </w:tcPr>
          <w:p w14:paraId="33F959AC">
            <w:pPr>
              <w:jc w:val="center"/>
              <w:rPr>
                <w:color w:val="auto"/>
                <w:sz w:val="24"/>
                <w:szCs w:val="24"/>
              </w:rPr>
            </w:pPr>
          </w:p>
        </w:tc>
        <w:tc>
          <w:tcPr>
            <w:tcW w:w="2410" w:type="dxa"/>
          </w:tcPr>
          <w:p w14:paraId="07FA10ED">
            <w:pPr>
              <w:ind w:firstLine="284"/>
              <w:jc w:val="both"/>
              <w:rPr>
                <w:color w:val="auto"/>
                <w:sz w:val="24"/>
                <w:szCs w:val="24"/>
              </w:rPr>
            </w:pPr>
            <w:r>
              <w:rPr>
                <w:color w:val="auto"/>
                <w:sz w:val="24"/>
                <w:szCs w:val="24"/>
              </w:rPr>
              <w:t>- Nhất trí</w:t>
            </w:r>
          </w:p>
          <w:p w14:paraId="49315953">
            <w:pPr>
              <w:ind w:firstLine="284"/>
              <w:jc w:val="both"/>
              <w:rPr>
                <w:color w:val="auto"/>
                <w:sz w:val="24"/>
                <w:szCs w:val="24"/>
              </w:rPr>
            </w:pPr>
            <w:r>
              <w:rPr>
                <w:color w:val="auto"/>
                <w:sz w:val="24"/>
                <w:szCs w:val="24"/>
              </w:rPr>
              <w:t>- Chỉnh lý tên văn bản được rà soát cho đầy đủ.</w:t>
            </w:r>
          </w:p>
          <w:p w14:paraId="39200F35">
            <w:pPr>
              <w:ind w:firstLine="284"/>
              <w:jc w:val="both"/>
              <w:rPr>
                <w:color w:val="auto"/>
                <w:sz w:val="24"/>
                <w:szCs w:val="24"/>
              </w:rPr>
            </w:pPr>
          </w:p>
        </w:tc>
      </w:tr>
      <w:tr w14:paraId="378347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04" w:type="dxa"/>
          </w:tcPr>
          <w:p w14:paraId="462C6992">
            <w:pPr>
              <w:numPr>
                <w:ilvl w:val="0"/>
                <w:numId w:val="6"/>
              </w:numPr>
              <w:tabs>
                <w:tab w:val="left" w:pos="425"/>
              </w:tabs>
              <w:jc w:val="center"/>
              <w:rPr>
                <w:color w:val="auto"/>
                <w:sz w:val="24"/>
                <w:szCs w:val="24"/>
              </w:rPr>
            </w:pPr>
          </w:p>
        </w:tc>
        <w:tc>
          <w:tcPr>
            <w:tcW w:w="1843" w:type="dxa"/>
          </w:tcPr>
          <w:p w14:paraId="5A25517D">
            <w:pPr>
              <w:spacing w:before="120"/>
              <w:jc w:val="both"/>
              <w:rPr>
                <w:rFonts w:hint="default"/>
                <w:color w:val="auto"/>
                <w:sz w:val="24"/>
                <w:szCs w:val="24"/>
                <w:lang w:val="en-US"/>
              </w:rPr>
            </w:pPr>
            <w:r>
              <w:rPr>
                <w:color w:val="auto"/>
                <w:sz w:val="24"/>
                <w:szCs w:val="24"/>
              </w:rPr>
              <w:t>Thông tư số 07/2024/TT-BTTTT</w:t>
            </w:r>
            <w:r>
              <w:rPr>
                <w:rFonts w:hint="default"/>
                <w:color w:val="auto"/>
                <w:sz w:val="24"/>
                <w:szCs w:val="24"/>
                <w:lang w:val="en-US"/>
              </w:rPr>
              <w:t xml:space="preserve"> ngày 02/7/2024 q</w:t>
            </w:r>
            <w:r>
              <w:rPr>
                <w:color w:val="auto"/>
                <w:sz w:val="24"/>
                <w:szCs w:val="24"/>
              </w:rPr>
              <w:t>uy định chi tiết</w:t>
            </w:r>
            <w:r>
              <w:rPr>
                <w:rFonts w:hint="default"/>
                <w:color w:val="auto"/>
                <w:sz w:val="24"/>
                <w:szCs w:val="24"/>
              </w:rPr>
              <w:t> </w:t>
            </w:r>
            <w:r>
              <w:rPr>
                <w:color w:val="auto"/>
                <w:sz w:val="24"/>
                <w:szCs w:val="24"/>
              </w:rPr>
              <w:t>cơ chế, nguyên tắc kiểm soát giá, phương pháp định giá thuê sử dụng mạng cáp trong tòa nhà</w:t>
            </w:r>
          </w:p>
        </w:tc>
        <w:tc>
          <w:tcPr>
            <w:tcW w:w="1417" w:type="dxa"/>
          </w:tcPr>
          <w:p w14:paraId="43F12D97">
            <w:pPr>
              <w:spacing w:before="120"/>
              <w:jc w:val="both"/>
              <w:rPr>
                <w:color w:val="auto"/>
                <w:sz w:val="24"/>
                <w:szCs w:val="24"/>
              </w:rPr>
            </w:pPr>
            <w:r>
              <w:rPr>
                <w:color w:val="auto"/>
                <w:sz w:val="24"/>
                <w:szCs w:val="24"/>
              </w:rPr>
              <w:t>Tình hình thực tiễn</w:t>
            </w:r>
          </w:p>
        </w:tc>
        <w:tc>
          <w:tcPr>
            <w:tcW w:w="4051" w:type="dxa"/>
          </w:tcPr>
          <w:p w14:paraId="3734112A">
            <w:pPr>
              <w:jc w:val="both"/>
              <w:rPr>
                <w:color w:val="auto"/>
                <w:sz w:val="24"/>
                <w:szCs w:val="24"/>
              </w:rPr>
            </w:pPr>
            <w:r>
              <w:rPr>
                <w:color w:val="auto"/>
                <w:sz w:val="24"/>
                <w:szCs w:val="24"/>
              </w:rPr>
              <w:t>Khoản 2, Điều 7 - Phương pháp chi quy định sản lượng tính giá được xác định dựa trên "công suất thiết kế của công trình và công suất sử dụng thực tế phù hợp với tình hình thị trường". Hạ tầng viễn thông thụ động (như bể cáp, hào kỹ thuật, cột anten) thường được xây dựng đón đầu quy hoạch, công suất thiết kế rất lớn nhưng tỷ lệ lấp đầy (sử dụng thực tế) thời gian đầu rất thấp. Nếu chia cho sản lượng thực tế thấp thì giá thuê sẽ bị đẩy lên cao. Nếu chia cho công suất thiết kế tối đa, doanh nghiệp không thu hồi được chi phí trong những năm đầu chưa có khách hàng. Việc thiếu hướng dẫn tỷ lệ phân bổ cụ thể giữa công suất thiết kế và thực tế sẽ gây tranh chấp khi xác định giá.</w:t>
            </w:r>
          </w:p>
        </w:tc>
        <w:tc>
          <w:tcPr>
            <w:tcW w:w="1394" w:type="dxa"/>
          </w:tcPr>
          <w:p w14:paraId="26A60F8D">
            <w:pPr>
              <w:jc w:val="center"/>
              <w:rPr>
                <w:color w:val="auto"/>
                <w:sz w:val="24"/>
                <w:szCs w:val="24"/>
              </w:rPr>
            </w:pPr>
            <w:r>
              <w:rPr>
                <w:color w:val="auto"/>
                <w:sz w:val="24"/>
                <w:szCs w:val="24"/>
              </w:rPr>
              <w:t xml:space="preserve"> Rà soát sửa đổi, bổ sung</w:t>
            </w:r>
          </w:p>
        </w:tc>
        <w:tc>
          <w:tcPr>
            <w:tcW w:w="1275" w:type="dxa"/>
          </w:tcPr>
          <w:p w14:paraId="287C92FB">
            <w:pPr>
              <w:jc w:val="center"/>
              <w:rPr>
                <w:color w:val="auto"/>
                <w:sz w:val="24"/>
                <w:szCs w:val="24"/>
              </w:rPr>
            </w:pPr>
            <w:r>
              <w:rPr>
                <w:rFonts w:hint="default"/>
                <w:color w:val="auto"/>
                <w:sz w:val="24"/>
                <w:szCs w:val="24"/>
                <w:lang w:val="en-US"/>
              </w:rPr>
              <w:t>Tháng 12/</w:t>
            </w:r>
            <w:r>
              <w:rPr>
                <w:color w:val="auto"/>
                <w:sz w:val="24"/>
                <w:szCs w:val="24"/>
              </w:rPr>
              <w:t>2027</w:t>
            </w:r>
          </w:p>
        </w:tc>
        <w:tc>
          <w:tcPr>
            <w:tcW w:w="1245" w:type="dxa"/>
          </w:tcPr>
          <w:p w14:paraId="4A7B0034">
            <w:pPr>
              <w:jc w:val="center"/>
              <w:rPr>
                <w:color w:val="auto"/>
                <w:sz w:val="24"/>
                <w:szCs w:val="24"/>
              </w:rPr>
            </w:pPr>
            <w:r>
              <w:rPr>
                <w:color w:val="auto"/>
                <w:sz w:val="24"/>
                <w:szCs w:val="24"/>
              </w:rPr>
              <w:t>Tiêu chí  5</w:t>
            </w:r>
          </w:p>
        </w:tc>
        <w:tc>
          <w:tcPr>
            <w:tcW w:w="1308" w:type="dxa"/>
          </w:tcPr>
          <w:p w14:paraId="7EC09EA4">
            <w:pPr>
              <w:jc w:val="center"/>
              <w:rPr>
                <w:color w:val="auto"/>
                <w:sz w:val="24"/>
                <w:szCs w:val="24"/>
              </w:rPr>
            </w:pPr>
          </w:p>
        </w:tc>
        <w:tc>
          <w:tcPr>
            <w:tcW w:w="2410" w:type="dxa"/>
          </w:tcPr>
          <w:p w14:paraId="1E760F7D">
            <w:pPr>
              <w:ind w:firstLine="284"/>
              <w:jc w:val="both"/>
              <w:rPr>
                <w:color w:val="auto"/>
                <w:sz w:val="24"/>
                <w:szCs w:val="24"/>
              </w:rPr>
            </w:pPr>
            <w:r>
              <w:rPr>
                <w:color w:val="auto"/>
                <w:sz w:val="24"/>
                <w:szCs w:val="24"/>
              </w:rPr>
              <w:t>- Nhất trí</w:t>
            </w:r>
          </w:p>
          <w:p w14:paraId="35439171">
            <w:pPr>
              <w:ind w:firstLine="284"/>
              <w:jc w:val="both"/>
              <w:rPr>
                <w:color w:val="auto"/>
                <w:sz w:val="24"/>
                <w:szCs w:val="24"/>
              </w:rPr>
            </w:pPr>
            <w:r>
              <w:rPr>
                <w:color w:val="auto"/>
                <w:sz w:val="24"/>
                <w:szCs w:val="24"/>
              </w:rPr>
              <w:t>- Chỉnh lý tên văn bản được rà soát cho đầy đủ.</w:t>
            </w:r>
          </w:p>
          <w:p w14:paraId="2FC51BAA">
            <w:pPr>
              <w:ind w:firstLine="284"/>
              <w:jc w:val="both"/>
              <w:rPr>
                <w:color w:val="auto"/>
                <w:sz w:val="24"/>
                <w:szCs w:val="24"/>
              </w:rPr>
            </w:pPr>
          </w:p>
        </w:tc>
      </w:tr>
      <w:tr w14:paraId="072111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04" w:type="dxa"/>
          </w:tcPr>
          <w:p w14:paraId="575692C2">
            <w:pPr>
              <w:numPr>
                <w:ilvl w:val="0"/>
                <w:numId w:val="6"/>
              </w:numPr>
              <w:tabs>
                <w:tab w:val="left" w:pos="425"/>
              </w:tabs>
              <w:jc w:val="center"/>
              <w:rPr>
                <w:color w:val="auto"/>
                <w:sz w:val="24"/>
                <w:szCs w:val="24"/>
              </w:rPr>
            </w:pPr>
          </w:p>
        </w:tc>
        <w:tc>
          <w:tcPr>
            <w:tcW w:w="1843" w:type="dxa"/>
          </w:tcPr>
          <w:p w14:paraId="3C5E2626">
            <w:pPr>
              <w:spacing w:before="120"/>
              <w:jc w:val="both"/>
              <w:rPr>
                <w:rFonts w:hint="default"/>
                <w:color w:val="auto"/>
                <w:sz w:val="24"/>
                <w:szCs w:val="24"/>
                <w:lang w:val="en-US"/>
              </w:rPr>
            </w:pPr>
            <w:r>
              <w:rPr>
                <w:color w:val="auto"/>
                <w:sz w:val="24"/>
                <w:szCs w:val="24"/>
              </w:rPr>
              <w:t>Thông tư số 13/2025/TT-BKHCN</w:t>
            </w:r>
            <w:r>
              <w:rPr>
                <w:rFonts w:hint="default"/>
                <w:color w:val="auto"/>
                <w:sz w:val="24"/>
                <w:szCs w:val="24"/>
                <w:lang w:val="en-US"/>
              </w:rPr>
              <w:t xml:space="preserve"> ngày 16/7/2025 quy định việc phân cấp thẩm quyền cấp, gia hạn, cấp lại, sửa đổi, bổ sung, thu hồi giấy phép viễn thông, yêu cầu chấm dứt hoạt động cung cấp dịch vụ viễn thông</w:t>
            </w:r>
          </w:p>
        </w:tc>
        <w:tc>
          <w:tcPr>
            <w:tcW w:w="1417" w:type="dxa"/>
          </w:tcPr>
          <w:p w14:paraId="3E999885">
            <w:pPr>
              <w:spacing w:before="120"/>
              <w:jc w:val="both"/>
              <w:rPr>
                <w:color w:val="auto"/>
                <w:sz w:val="24"/>
                <w:szCs w:val="24"/>
              </w:rPr>
            </w:pPr>
            <w:r>
              <w:rPr>
                <w:color w:val="auto"/>
                <w:sz w:val="24"/>
                <w:szCs w:val="24"/>
              </w:rPr>
              <w:t>Cải cách TTHC</w:t>
            </w:r>
          </w:p>
        </w:tc>
        <w:tc>
          <w:tcPr>
            <w:tcW w:w="4051" w:type="dxa"/>
          </w:tcPr>
          <w:p w14:paraId="3638AF73">
            <w:pPr>
              <w:jc w:val="both"/>
              <w:rPr>
                <w:color w:val="auto"/>
                <w:sz w:val="24"/>
                <w:szCs w:val="24"/>
              </w:rPr>
            </w:pPr>
            <w:r>
              <w:rPr>
                <w:color w:val="auto"/>
                <w:sz w:val="24"/>
                <w:szCs w:val="24"/>
              </w:rPr>
              <w:t>Hiện nay, Chính phủ đã ban hành Nghị định số 133/2025/NĐ-CP, Nghị quyết số 20/2026/NQ-CP</w:t>
            </w:r>
            <w:r>
              <w:rPr>
                <w:rFonts w:hint="default"/>
                <w:color w:val="auto"/>
                <w:sz w:val="24"/>
                <w:szCs w:val="24"/>
                <w:lang w:val="en-US"/>
              </w:rPr>
              <w:t xml:space="preserve"> </w:t>
            </w:r>
            <w:r>
              <w:rPr>
                <w:color w:val="auto"/>
                <w:sz w:val="24"/>
                <w:szCs w:val="24"/>
              </w:rPr>
              <w:t>ngày 29/4/2026 của Chính phủ phân cấp, cắt giảm, đơn giản hóa thủ tục hành chính, điều kiện kinh doanh thuộc phạm vi quản lý nhà nước của Bộ Khoa học</w:t>
            </w:r>
            <w:r>
              <w:rPr>
                <w:rFonts w:hint="default"/>
                <w:color w:val="auto"/>
                <w:sz w:val="24"/>
                <w:szCs w:val="24"/>
                <w:lang w:val="en-US"/>
              </w:rPr>
              <w:t xml:space="preserve"> </w:t>
            </w:r>
            <w:r>
              <w:rPr>
                <w:color w:val="auto"/>
                <w:sz w:val="24"/>
                <w:szCs w:val="24"/>
              </w:rPr>
              <w:t>và Công nghệ quy định việc phân cấp thực hiện các thủ tục hành chính trong lĩnh vực viễn thông. Các văn bản này sẽ hết hiệu lực từ 01/3/2027 do đó, cần sửa đổi bổ sung Thông tư số 13/2025/TT-BKHCN để tiếp tục thực hiện việc phân cấp cho địa phương</w:t>
            </w:r>
          </w:p>
        </w:tc>
        <w:tc>
          <w:tcPr>
            <w:tcW w:w="1394" w:type="dxa"/>
          </w:tcPr>
          <w:p w14:paraId="7FEC4298">
            <w:pPr>
              <w:jc w:val="center"/>
              <w:rPr>
                <w:color w:val="auto"/>
                <w:sz w:val="24"/>
                <w:szCs w:val="24"/>
              </w:rPr>
            </w:pPr>
            <w:r>
              <w:rPr>
                <w:color w:val="auto"/>
                <w:sz w:val="24"/>
                <w:szCs w:val="24"/>
              </w:rPr>
              <w:t>Thay thế</w:t>
            </w:r>
          </w:p>
        </w:tc>
        <w:tc>
          <w:tcPr>
            <w:tcW w:w="1275" w:type="dxa"/>
          </w:tcPr>
          <w:p w14:paraId="5FC9D4C5">
            <w:pPr>
              <w:jc w:val="center"/>
              <w:rPr>
                <w:color w:val="auto"/>
                <w:sz w:val="24"/>
                <w:szCs w:val="24"/>
              </w:rPr>
            </w:pPr>
            <w:r>
              <w:rPr>
                <w:rFonts w:hint="default"/>
                <w:color w:val="auto"/>
                <w:sz w:val="24"/>
                <w:szCs w:val="24"/>
                <w:lang w:val="en-US"/>
              </w:rPr>
              <w:t>Tháng 12/</w:t>
            </w:r>
            <w:r>
              <w:rPr>
                <w:color w:val="auto"/>
                <w:sz w:val="24"/>
                <w:szCs w:val="24"/>
              </w:rPr>
              <w:t>2026</w:t>
            </w:r>
          </w:p>
        </w:tc>
        <w:tc>
          <w:tcPr>
            <w:tcW w:w="1245" w:type="dxa"/>
          </w:tcPr>
          <w:p w14:paraId="42AB45C0">
            <w:pPr>
              <w:jc w:val="center"/>
              <w:rPr>
                <w:color w:val="auto"/>
                <w:sz w:val="24"/>
                <w:szCs w:val="24"/>
              </w:rPr>
            </w:pPr>
            <w:r>
              <w:rPr>
                <w:color w:val="auto"/>
                <w:sz w:val="24"/>
                <w:szCs w:val="24"/>
              </w:rPr>
              <w:t>Tiêu chí  4</w:t>
            </w:r>
          </w:p>
        </w:tc>
        <w:tc>
          <w:tcPr>
            <w:tcW w:w="1308" w:type="dxa"/>
          </w:tcPr>
          <w:p w14:paraId="7D7A2439">
            <w:pPr>
              <w:jc w:val="center"/>
              <w:rPr>
                <w:color w:val="auto"/>
                <w:sz w:val="24"/>
                <w:szCs w:val="24"/>
              </w:rPr>
            </w:pPr>
          </w:p>
        </w:tc>
        <w:tc>
          <w:tcPr>
            <w:tcW w:w="2410" w:type="dxa"/>
          </w:tcPr>
          <w:p w14:paraId="24CEE8E4">
            <w:pPr>
              <w:ind w:firstLine="284"/>
              <w:jc w:val="both"/>
              <w:rPr>
                <w:color w:val="auto"/>
                <w:sz w:val="24"/>
                <w:szCs w:val="24"/>
              </w:rPr>
            </w:pPr>
            <w:r>
              <w:rPr>
                <w:color w:val="auto"/>
                <w:sz w:val="24"/>
                <w:szCs w:val="24"/>
              </w:rPr>
              <w:t>- Nhất trí</w:t>
            </w:r>
          </w:p>
          <w:p w14:paraId="501F2FED">
            <w:pPr>
              <w:ind w:firstLine="284"/>
              <w:jc w:val="both"/>
              <w:rPr>
                <w:color w:val="auto"/>
                <w:sz w:val="24"/>
                <w:szCs w:val="24"/>
              </w:rPr>
            </w:pPr>
            <w:r>
              <w:rPr>
                <w:color w:val="auto"/>
                <w:sz w:val="24"/>
                <w:szCs w:val="24"/>
              </w:rPr>
              <w:t>- Chỉnh lý tên văn bản được rà soát cho đầy đủ.</w:t>
            </w:r>
          </w:p>
          <w:p w14:paraId="135B90C2">
            <w:pPr>
              <w:ind w:firstLine="284"/>
              <w:jc w:val="both"/>
              <w:rPr>
                <w:color w:val="auto"/>
                <w:sz w:val="24"/>
                <w:szCs w:val="24"/>
              </w:rPr>
            </w:pPr>
          </w:p>
        </w:tc>
      </w:tr>
      <w:tr w14:paraId="129524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852" w:hRule="atLeast"/>
          <w:jc w:val="center"/>
        </w:trPr>
        <w:tc>
          <w:tcPr>
            <w:tcW w:w="704" w:type="dxa"/>
          </w:tcPr>
          <w:p w14:paraId="5B1D45C0">
            <w:pPr>
              <w:numPr>
                <w:ilvl w:val="0"/>
                <w:numId w:val="6"/>
              </w:numPr>
              <w:tabs>
                <w:tab w:val="left" w:pos="425"/>
              </w:tabs>
              <w:jc w:val="center"/>
              <w:rPr>
                <w:color w:val="auto"/>
                <w:sz w:val="24"/>
                <w:szCs w:val="24"/>
              </w:rPr>
            </w:pPr>
          </w:p>
        </w:tc>
        <w:tc>
          <w:tcPr>
            <w:tcW w:w="1843" w:type="dxa"/>
          </w:tcPr>
          <w:p w14:paraId="0BB33858">
            <w:pPr>
              <w:jc w:val="both"/>
              <w:rPr>
                <w:color w:val="auto"/>
                <w:sz w:val="24"/>
                <w:szCs w:val="24"/>
              </w:rPr>
            </w:pPr>
            <w:r>
              <w:rPr>
                <w:color w:val="auto"/>
                <w:sz w:val="24"/>
                <w:szCs w:val="24"/>
              </w:rPr>
              <w:t>Thông tư số 47/2025/TT-BKHCN ngày 24/12/2025 quy định Chế độ báo cáo định kỳ thuộc phạm vi quản lý nhà nước của Bộ Khoa học và Cônng nghệ</w:t>
            </w:r>
          </w:p>
        </w:tc>
        <w:tc>
          <w:tcPr>
            <w:tcW w:w="1417" w:type="dxa"/>
          </w:tcPr>
          <w:p w14:paraId="6C5F58DF">
            <w:pPr>
              <w:jc w:val="both"/>
              <w:rPr>
                <w:rFonts w:hint="default"/>
                <w:color w:val="auto"/>
                <w:sz w:val="24"/>
                <w:szCs w:val="24"/>
                <w:lang w:val="en-US"/>
              </w:rPr>
            </w:pPr>
            <w:r>
              <w:rPr>
                <w:color w:val="auto"/>
                <w:sz w:val="24"/>
                <w:szCs w:val="24"/>
              </w:rPr>
              <w:t>Nghị định 09/2019/NĐ-CP</w:t>
            </w:r>
            <w:r>
              <w:rPr>
                <w:rFonts w:hint="default"/>
                <w:color w:val="auto"/>
                <w:sz w:val="24"/>
                <w:szCs w:val="24"/>
                <w:lang w:val="en-US"/>
              </w:rPr>
              <w:t xml:space="preserve"> ngày 24/01/2019 quy định về chế độ báo cáo của cơ quan hành chính nhà nước</w:t>
            </w:r>
          </w:p>
        </w:tc>
        <w:tc>
          <w:tcPr>
            <w:tcW w:w="4051" w:type="dxa"/>
          </w:tcPr>
          <w:p w14:paraId="61FE1F23">
            <w:pPr>
              <w:jc w:val="both"/>
              <w:rPr>
                <w:color w:val="auto"/>
                <w:sz w:val="24"/>
                <w:szCs w:val="24"/>
              </w:rPr>
            </w:pPr>
            <w:r>
              <w:rPr>
                <w:color w:val="auto"/>
                <w:sz w:val="24"/>
                <w:szCs w:val="24"/>
              </w:rPr>
              <w:t xml:space="preserve">Theo quy định tại Điều 12 Nghị định 09/2019/NĐ-CP, thời gian chốt số liệu báo cáo định kỳ được tính đến ngày 14 của tháng cuối kỳ báo cáo. Trong khi đó, tại khoản 5 Điều 6 của Thông tư 47, thời hạn gửi báo cáo là trước ngày 15 của tháng cuối kỳ báo cáo. Như vậy, về thực tế, báo cáo phải được hoàn thành và gửi ngay sau khi kết thúc chu kỳ chốt số liệu, không còn khoảng thời gian phù hợp để các đơn vị tổng hợp, kiểm tra, đối soát và hoàn thiện báo cáo. </w:t>
            </w:r>
          </w:p>
        </w:tc>
        <w:tc>
          <w:tcPr>
            <w:tcW w:w="1394" w:type="dxa"/>
          </w:tcPr>
          <w:p w14:paraId="09D0A212">
            <w:pPr>
              <w:jc w:val="both"/>
              <w:rPr>
                <w:color w:val="auto"/>
                <w:sz w:val="24"/>
                <w:szCs w:val="24"/>
              </w:rPr>
            </w:pPr>
            <w:r>
              <w:rPr>
                <w:color w:val="auto"/>
                <w:sz w:val="24"/>
                <w:szCs w:val="24"/>
              </w:rPr>
              <w:t>Rà soát sửa đổi, bổ sung</w:t>
            </w:r>
          </w:p>
        </w:tc>
        <w:tc>
          <w:tcPr>
            <w:tcW w:w="1275" w:type="dxa"/>
          </w:tcPr>
          <w:p w14:paraId="5C5344D1">
            <w:pPr>
              <w:jc w:val="center"/>
              <w:rPr>
                <w:color w:val="auto"/>
                <w:sz w:val="24"/>
                <w:szCs w:val="24"/>
              </w:rPr>
            </w:pPr>
          </w:p>
        </w:tc>
        <w:tc>
          <w:tcPr>
            <w:tcW w:w="1245" w:type="dxa"/>
          </w:tcPr>
          <w:p w14:paraId="3B0E2037">
            <w:pPr>
              <w:jc w:val="center"/>
              <w:rPr>
                <w:color w:val="auto"/>
                <w:sz w:val="24"/>
                <w:szCs w:val="24"/>
              </w:rPr>
            </w:pPr>
            <w:r>
              <w:rPr>
                <w:color w:val="auto"/>
                <w:sz w:val="24"/>
                <w:szCs w:val="24"/>
              </w:rPr>
              <w:t>Tiêu chí 5</w:t>
            </w:r>
          </w:p>
        </w:tc>
        <w:tc>
          <w:tcPr>
            <w:tcW w:w="1308" w:type="dxa"/>
          </w:tcPr>
          <w:p w14:paraId="7C72F6D7">
            <w:pPr>
              <w:jc w:val="center"/>
              <w:rPr>
                <w:color w:val="auto"/>
                <w:sz w:val="24"/>
                <w:szCs w:val="24"/>
              </w:rPr>
            </w:pPr>
          </w:p>
        </w:tc>
        <w:tc>
          <w:tcPr>
            <w:tcW w:w="2410" w:type="dxa"/>
          </w:tcPr>
          <w:p w14:paraId="3808FDD2">
            <w:pPr>
              <w:ind w:firstLine="284"/>
              <w:jc w:val="both"/>
              <w:rPr>
                <w:color w:val="auto"/>
                <w:sz w:val="24"/>
                <w:szCs w:val="24"/>
              </w:rPr>
            </w:pPr>
          </w:p>
          <w:p w14:paraId="34123658">
            <w:pPr>
              <w:ind w:firstLine="284"/>
              <w:jc w:val="both"/>
              <w:rPr>
                <w:color w:val="auto"/>
                <w:sz w:val="24"/>
                <w:szCs w:val="24"/>
              </w:rPr>
            </w:pPr>
          </w:p>
          <w:p w14:paraId="52616FB1">
            <w:pPr>
              <w:ind w:firstLine="284"/>
              <w:jc w:val="both"/>
              <w:rPr>
                <w:color w:val="auto"/>
                <w:sz w:val="24"/>
                <w:szCs w:val="24"/>
              </w:rPr>
            </w:pPr>
            <w:r>
              <w:rPr>
                <w:color w:val="auto"/>
                <w:sz w:val="24"/>
                <w:szCs w:val="24"/>
              </w:rPr>
              <w:t>- Nhất trí</w:t>
            </w:r>
          </w:p>
          <w:p w14:paraId="4E1A48EC">
            <w:pPr>
              <w:ind w:firstLine="284"/>
              <w:jc w:val="both"/>
              <w:rPr>
                <w:color w:val="auto"/>
                <w:sz w:val="24"/>
                <w:szCs w:val="24"/>
              </w:rPr>
            </w:pPr>
            <w:r>
              <w:rPr>
                <w:color w:val="auto"/>
                <w:sz w:val="24"/>
                <w:szCs w:val="24"/>
              </w:rPr>
              <w:t>- Chỉnh lý tên văn bản làm căn cứ rà soát cho đầy đủ.</w:t>
            </w:r>
          </w:p>
          <w:p w14:paraId="6A47C049">
            <w:pPr>
              <w:widowControl w:val="0"/>
              <w:spacing w:line="276" w:lineRule="auto"/>
              <w:ind w:firstLine="284"/>
              <w:jc w:val="both"/>
              <w:rPr>
                <w:color w:val="auto"/>
                <w:sz w:val="24"/>
                <w:szCs w:val="24"/>
              </w:rPr>
            </w:pPr>
          </w:p>
        </w:tc>
      </w:tr>
      <w:tr w14:paraId="4962CC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04" w:type="dxa"/>
          </w:tcPr>
          <w:p w14:paraId="3B6C83A8">
            <w:pPr>
              <w:numPr>
                <w:ilvl w:val="0"/>
                <w:numId w:val="6"/>
              </w:numPr>
              <w:tabs>
                <w:tab w:val="left" w:pos="425"/>
              </w:tabs>
              <w:jc w:val="center"/>
              <w:rPr>
                <w:color w:val="auto"/>
                <w:sz w:val="24"/>
                <w:szCs w:val="24"/>
              </w:rPr>
            </w:pPr>
          </w:p>
        </w:tc>
        <w:tc>
          <w:tcPr>
            <w:tcW w:w="1843" w:type="dxa"/>
          </w:tcPr>
          <w:p w14:paraId="013D1193">
            <w:pPr>
              <w:rPr>
                <w:color w:val="auto"/>
                <w:sz w:val="24"/>
                <w:szCs w:val="24"/>
              </w:rPr>
            </w:pPr>
            <w:r>
              <w:rPr>
                <w:color w:val="auto"/>
                <w:sz w:val="24"/>
                <w:szCs w:val="24"/>
              </w:rPr>
              <w:t xml:space="preserve">Thông tư số 48/2025/TT-BKHCN ngày 25/12/2025 hướng dẫn về quản lý và sử dụng tài nguyên Internet </w:t>
            </w:r>
          </w:p>
        </w:tc>
        <w:tc>
          <w:tcPr>
            <w:tcW w:w="1417" w:type="dxa"/>
          </w:tcPr>
          <w:p w14:paraId="64BB79FF">
            <w:pPr>
              <w:spacing w:before="120"/>
              <w:jc w:val="both"/>
              <w:rPr>
                <w:color w:val="auto"/>
                <w:sz w:val="24"/>
                <w:szCs w:val="24"/>
              </w:rPr>
            </w:pPr>
            <w:r>
              <w:rPr>
                <w:color w:val="auto"/>
                <w:sz w:val="24"/>
                <w:szCs w:val="24"/>
              </w:rPr>
              <w:t>Kết luận số 18-KL/TW ngày 02/04/2026, Nghị quyết số 66.18/2026/NQ-CP</w:t>
            </w:r>
          </w:p>
        </w:tc>
        <w:tc>
          <w:tcPr>
            <w:tcW w:w="4051" w:type="dxa"/>
          </w:tcPr>
          <w:p w14:paraId="0903EA04">
            <w:pPr>
              <w:spacing w:after="120"/>
              <w:ind w:right="134"/>
              <w:jc w:val="both"/>
              <w:rPr>
                <w:rFonts w:hint="default"/>
                <w:color w:val="auto"/>
                <w:sz w:val="24"/>
                <w:szCs w:val="24"/>
                <w:lang w:val="en-US"/>
              </w:rPr>
            </w:pPr>
            <w:r>
              <w:rPr>
                <w:color w:val="auto"/>
                <w:sz w:val="24"/>
                <w:szCs w:val="24"/>
              </w:rPr>
              <w:t xml:space="preserve">Cần </w:t>
            </w:r>
            <w:r>
              <w:rPr>
                <w:rFonts w:hint="default"/>
                <w:color w:val="auto"/>
                <w:sz w:val="24"/>
                <w:szCs w:val="24"/>
                <w:lang w:val="en-US"/>
              </w:rPr>
              <w:t xml:space="preserve">sửa khoản 1 Điều 19, khoản 1, khoản 2 Điều 23 </w:t>
            </w:r>
            <w:r>
              <w:rPr>
                <w:color w:val="auto"/>
                <w:sz w:val="24"/>
                <w:szCs w:val="24"/>
              </w:rPr>
              <w:t>đồng bộ theo quy định tại Nghị quyết số 66.18/2026/NQ-CP đối với các nội dung cắt giảm điều kiện sản xuất, kinh doanh</w:t>
            </w:r>
            <w:r>
              <w:rPr>
                <w:rFonts w:hint="default"/>
                <w:color w:val="auto"/>
                <w:sz w:val="24"/>
                <w:szCs w:val="24"/>
                <w:lang w:val="en-US"/>
              </w:rPr>
              <w:t xml:space="preserve"> </w:t>
            </w:r>
          </w:p>
        </w:tc>
        <w:tc>
          <w:tcPr>
            <w:tcW w:w="1394" w:type="dxa"/>
          </w:tcPr>
          <w:p w14:paraId="22907861">
            <w:pPr>
              <w:jc w:val="center"/>
              <w:rPr>
                <w:color w:val="auto"/>
                <w:sz w:val="24"/>
                <w:szCs w:val="24"/>
              </w:rPr>
            </w:pPr>
            <w:r>
              <w:rPr>
                <w:color w:val="auto"/>
                <w:sz w:val="24"/>
                <w:szCs w:val="24"/>
              </w:rPr>
              <w:t xml:space="preserve">Thông tư sửa đổi, bổ sung </w:t>
            </w:r>
          </w:p>
        </w:tc>
        <w:tc>
          <w:tcPr>
            <w:tcW w:w="1275" w:type="dxa"/>
          </w:tcPr>
          <w:p w14:paraId="4477C505">
            <w:pPr>
              <w:jc w:val="center"/>
              <w:rPr>
                <w:color w:val="auto"/>
                <w:sz w:val="24"/>
                <w:szCs w:val="24"/>
              </w:rPr>
            </w:pPr>
            <w:r>
              <w:rPr>
                <w:color w:val="auto"/>
                <w:sz w:val="24"/>
                <w:szCs w:val="24"/>
              </w:rPr>
              <w:t>3/2027</w:t>
            </w:r>
          </w:p>
        </w:tc>
        <w:tc>
          <w:tcPr>
            <w:tcW w:w="1245" w:type="dxa"/>
          </w:tcPr>
          <w:p w14:paraId="032B9311">
            <w:pPr>
              <w:jc w:val="center"/>
              <w:rPr>
                <w:color w:val="auto"/>
                <w:sz w:val="24"/>
                <w:szCs w:val="24"/>
              </w:rPr>
            </w:pPr>
            <w:r>
              <w:rPr>
                <w:color w:val="auto"/>
                <w:sz w:val="24"/>
                <w:szCs w:val="24"/>
              </w:rPr>
              <w:t>Tiêu chí 1.2, Tiêu chí 2</w:t>
            </w:r>
            <w:r>
              <w:rPr>
                <w:rFonts w:hint="default"/>
                <w:color w:val="auto"/>
                <w:sz w:val="24"/>
                <w:szCs w:val="24"/>
                <w:lang w:val="en-US"/>
              </w:rPr>
              <w:t>.3</w:t>
            </w:r>
            <w:r>
              <w:rPr>
                <w:color w:val="auto"/>
                <w:sz w:val="24"/>
                <w:szCs w:val="24"/>
              </w:rPr>
              <w:t>, Tiêu chí 4</w:t>
            </w:r>
          </w:p>
        </w:tc>
        <w:tc>
          <w:tcPr>
            <w:tcW w:w="1308" w:type="dxa"/>
          </w:tcPr>
          <w:p w14:paraId="47582402">
            <w:pPr>
              <w:jc w:val="center"/>
              <w:rPr>
                <w:color w:val="auto"/>
                <w:sz w:val="24"/>
                <w:szCs w:val="24"/>
              </w:rPr>
            </w:pPr>
          </w:p>
        </w:tc>
        <w:tc>
          <w:tcPr>
            <w:tcW w:w="2410" w:type="dxa"/>
          </w:tcPr>
          <w:p w14:paraId="4ABE586D">
            <w:pPr>
              <w:ind w:firstLine="284"/>
              <w:jc w:val="both"/>
              <w:rPr>
                <w:color w:val="auto"/>
                <w:sz w:val="24"/>
                <w:szCs w:val="24"/>
              </w:rPr>
            </w:pPr>
            <w:r>
              <w:rPr>
                <w:color w:val="auto"/>
                <w:sz w:val="24"/>
                <w:szCs w:val="24"/>
              </w:rPr>
              <w:t>- Cần làm rõ, hoàn thiện thêm các nội dung, quy định cần xử lý của văn bản được rà soát.</w:t>
            </w:r>
          </w:p>
          <w:p w14:paraId="20AD3924">
            <w:pPr>
              <w:ind w:firstLine="284"/>
              <w:jc w:val="both"/>
              <w:rPr>
                <w:color w:val="auto"/>
                <w:sz w:val="24"/>
                <w:szCs w:val="24"/>
              </w:rPr>
            </w:pPr>
            <w:r>
              <w:rPr>
                <w:color w:val="auto"/>
                <w:sz w:val="24"/>
                <w:szCs w:val="24"/>
              </w:rPr>
              <w:t>- Chỉnh lý tên văn bản làm căn cứ rà soát cho đầy đủ.</w:t>
            </w:r>
          </w:p>
          <w:p w14:paraId="76A9FEE4">
            <w:pPr>
              <w:ind w:firstLine="284"/>
              <w:jc w:val="both"/>
              <w:rPr>
                <w:color w:val="auto"/>
                <w:sz w:val="24"/>
                <w:szCs w:val="24"/>
              </w:rPr>
            </w:pPr>
          </w:p>
          <w:p w14:paraId="7F832732">
            <w:pPr>
              <w:ind w:firstLine="284"/>
              <w:jc w:val="both"/>
              <w:rPr>
                <w:color w:val="auto"/>
                <w:sz w:val="24"/>
                <w:szCs w:val="24"/>
              </w:rPr>
            </w:pPr>
          </w:p>
        </w:tc>
      </w:tr>
      <w:tr w14:paraId="61250D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04" w:type="dxa"/>
          </w:tcPr>
          <w:p w14:paraId="5D5ABE34">
            <w:pPr>
              <w:numPr>
                <w:ilvl w:val="0"/>
                <w:numId w:val="6"/>
              </w:numPr>
              <w:tabs>
                <w:tab w:val="left" w:pos="425"/>
              </w:tabs>
              <w:jc w:val="center"/>
              <w:rPr>
                <w:color w:val="auto"/>
                <w:sz w:val="24"/>
                <w:szCs w:val="24"/>
              </w:rPr>
            </w:pPr>
          </w:p>
        </w:tc>
        <w:tc>
          <w:tcPr>
            <w:tcW w:w="1843" w:type="dxa"/>
          </w:tcPr>
          <w:p w14:paraId="14298E2A">
            <w:pPr>
              <w:rPr>
                <w:color w:val="auto"/>
                <w:sz w:val="24"/>
                <w:szCs w:val="24"/>
              </w:rPr>
            </w:pPr>
            <w:r>
              <w:rPr>
                <w:color w:val="auto"/>
                <w:sz w:val="24"/>
                <w:szCs w:val="24"/>
              </w:rPr>
              <w:t xml:space="preserve"> Thông tư 01/2026/TT-BKHCN hướng dẫn Nghị định 295/2025/NĐ-CP hướng dẫn Luật Viễn thông về hoạt động viễn thông công ích và cơ chế tài chính </w:t>
            </w:r>
          </w:p>
        </w:tc>
        <w:tc>
          <w:tcPr>
            <w:tcW w:w="1417" w:type="dxa"/>
          </w:tcPr>
          <w:p w14:paraId="393692CC">
            <w:pPr>
              <w:spacing w:before="120"/>
              <w:jc w:val="both"/>
              <w:rPr>
                <w:color w:val="auto"/>
                <w:sz w:val="24"/>
                <w:szCs w:val="24"/>
              </w:rPr>
            </w:pPr>
            <w:r>
              <w:rPr>
                <w:color w:val="auto"/>
                <w:sz w:val="24"/>
                <w:szCs w:val="24"/>
              </w:rPr>
              <w:t>Tình hình thực tiễn</w:t>
            </w:r>
          </w:p>
        </w:tc>
        <w:tc>
          <w:tcPr>
            <w:tcW w:w="4051" w:type="dxa"/>
          </w:tcPr>
          <w:p w14:paraId="189B466B">
            <w:pPr>
              <w:spacing w:after="120"/>
              <w:ind w:right="134"/>
              <w:jc w:val="both"/>
              <w:rPr>
                <w:color w:val="auto"/>
                <w:sz w:val="24"/>
                <w:szCs w:val="24"/>
              </w:rPr>
            </w:pPr>
            <w:r>
              <w:rPr>
                <w:color w:val="auto"/>
                <w:sz w:val="24"/>
                <w:szCs w:val="24"/>
              </w:rPr>
              <w:t>Khoản 6 Điều 11 quy định “kèm theo bản thuyết minh phương án và dự toán thực hiện đặt hàng; các hồ sơ tài liệu liên quan (nếu có). Doanh nghiệp viễn thông chịu trách nhiệm về tính chính xác về nội dung, số liệu báo cáo.” không đồng bộ với các khoản 7 Điều 4, khoản 6 Điều 5, khoản 6 Điều 12.</w:t>
            </w:r>
          </w:p>
          <w:p w14:paraId="2FC4FF4C">
            <w:pPr>
              <w:spacing w:after="120"/>
              <w:ind w:right="134"/>
              <w:jc w:val="both"/>
              <w:rPr>
                <w:color w:val="auto"/>
                <w:sz w:val="24"/>
                <w:szCs w:val="24"/>
              </w:rPr>
            </w:pPr>
            <w:r>
              <w:rPr>
                <w:color w:val="auto"/>
                <w:sz w:val="24"/>
                <w:szCs w:val="24"/>
              </w:rPr>
              <w:t>Điểm đ khoản 7 Điều 17 thiếu đối tượng Hỗ trợ thiết bị đầu cuối, không thống nhất với mẫu biểu chi tiêt số 05 Phụ lục XI</w:t>
            </w:r>
          </w:p>
          <w:p w14:paraId="6C9B824B">
            <w:pPr>
              <w:spacing w:after="120"/>
              <w:ind w:right="134"/>
              <w:jc w:val="both"/>
              <w:rPr>
                <w:color w:val="auto"/>
                <w:sz w:val="24"/>
                <w:szCs w:val="24"/>
              </w:rPr>
            </w:pPr>
            <w:r>
              <w:rPr>
                <w:color w:val="auto"/>
                <w:sz w:val="24"/>
                <w:szCs w:val="24"/>
              </w:rPr>
              <w:t>Phụ lục I (Tiêu đề) bao gồm cả phương thức đặt hàng và giao nhiệm vụ</w:t>
            </w:r>
          </w:p>
          <w:p w14:paraId="49C08541">
            <w:pPr>
              <w:spacing w:after="120"/>
              <w:ind w:right="134"/>
              <w:jc w:val="both"/>
              <w:rPr>
                <w:color w:val="auto"/>
                <w:sz w:val="24"/>
                <w:szCs w:val="24"/>
              </w:rPr>
            </w:pPr>
            <w:r>
              <w:rPr>
                <w:color w:val="auto"/>
                <w:sz w:val="24"/>
                <w:szCs w:val="24"/>
              </w:rPr>
              <w:t>Phụ lục X (Mẫu số 01) nơi nhận “Quỹ Dịch vụ viễn thông công ích” trùng với cột lập biểu</w:t>
            </w:r>
          </w:p>
          <w:p w14:paraId="08404F10">
            <w:pPr>
              <w:spacing w:after="120"/>
              <w:ind w:right="134"/>
              <w:jc w:val="both"/>
              <w:rPr>
                <w:color w:val="auto"/>
                <w:sz w:val="24"/>
                <w:szCs w:val="24"/>
              </w:rPr>
            </w:pPr>
            <w:r>
              <w:rPr>
                <w:color w:val="auto"/>
                <w:sz w:val="24"/>
                <w:szCs w:val="24"/>
              </w:rPr>
              <w:t>Phụ lục XI (Tiêu đề)  bao gồm biểu mẫu lập kế hoạch và dự toán</w:t>
            </w:r>
          </w:p>
          <w:p w14:paraId="0B668E23">
            <w:pPr>
              <w:spacing w:after="120"/>
              <w:ind w:right="134"/>
              <w:jc w:val="both"/>
              <w:rPr>
                <w:color w:val="auto"/>
                <w:sz w:val="24"/>
                <w:szCs w:val="24"/>
              </w:rPr>
            </w:pPr>
            <w:r>
              <w:rPr>
                <w:color w:val="auto"/>
                <w:sz w:val="24"/>
                <w:szCs w:val="24"/>
              </w:rPr>
              <w:t xml:space="preserve">Phụ lục I (Mẫu số 10) trùng nội dung do có 02 mục 6n </w:t>
            </w:r>
          </w:p>
          <w:p w14:paraId="31AAA903">
            <w:pPr>
              <w:spacing w:after="120"/>
              <w:ind w:right="134"/>
              <w:jc w:val="both"/>
              <w:rPr>
                <w:color w:val="auto"/>
                <w:sz w:val="24"/>
                <w:szCs w:val="24"/>
              </w:rPr>
            </w:pPr>
            <w:r>
              <w:rPr>
                <w:color w:val="auto"/>
                <w:sz w:val="24"/>
                <w:szCs w:val="24"/>
              </w:rPr>
              <w:t>Phụ lục XI (Biểu 1 Mẫu số 04) không có trích yếu Biểu 02 trong hướng dẫn ghi biểu.</w:t>
            </w:r>
          </w:p>
          <w:p w14:paraId="250135B5">
            <w:pPr>
              <w:spacing w:after="120"/>
              <w:ind w:right="134"/>
              <w:jc w:val="both"/>
              <w:rPr>
                <w:color w:val="auto"/>
                <w:sz w:val="24"/>
                <w:szCs w:val="24"/>
              </w:rPr>
            </w:pPr>
            <w:r>
              <w:rPr>
                <w:color w:val="auto"/>
                <w:sz w:val="24"/>
                <w:szCs w:val="24"/>
              </w:rPr>
              <w:t>Mẫu số 5 thiếu đối tượng  “hỗ trợ thiết bị đầu cuối”. Không đảm bảo đầy đủ đối tượng được đề xuất và thống nhất với mẫu biểu chi tiêt số 05 Phụ lục XI</w:t>
            </w:r>
          </w:p>
        </w:tc>
        <w:tc>
          <w:tcPr>
            <w:tcW w:w="1394" w:type="dxa"/>
          </w:tcPr>
          <w:p w14:paraId="6BFF9432">
            <w:pPr>
              <w:jc w:val="center"/>
              <w:rPr>
                <w:color w:val="auto"/>
                <w:sz w:val="24"/>
                <w:szCs w:val="24"/>
              </w:rPr>
            </w:pPr>
            <w:r>
              <w:rPr>
                <w:color w:val="auto"/>
                <w:sz w:val="24"/>
                <w:szCs w:val="24"/>
              </w:rPr>
              <w:t>Thông tư sửa đổi, bổ sung</w:t>
            </w:r>
          </w:p>
        </w:tc>
        <w:tc>
          <w:tcPr>
            <w:tcW w:w="1275" w:type="dxa"/>
          </w:tcPr>
          <w:p w14:paraId="52D92B43">
            <w:pPr>
              <w:jc w:val="center"/>
              <w:rPr>
                <w:color w:val="auto"/>
                <w:sz w:val="24"/>
                <w:szCs w:val="24"/>
              </w:rPr>
            </w:pPr>
            <w:r>
              <w:rPr>
                <w:rFonts w:hint="default"/>
                <w:color w:val="auto"/>
                <w:sz w:val="24"/>
                <w:szCs w:val="24"/>
                <w:lang w:val="en-US"/>
              </w:rPr>
              <w:t>Tháng 12/</w:t>
            </w:r>
            <w:r>
              <w:rPr>
                <w:color w:val="auto"/>
                <w:sz w:val="24"/>
                <w:szCs w:val="24"/>
              </w:rPr>
              <w:t>2026</w:t>
            </w:r>
          </w:p>
        </w:tc>
        <w:tc>
          <w:tcPr>
            <w:tcW w:w="1245" w:type="dxa"/>
          </w:tcPr>
          <w:p w14:paraId="1876B62C">
            <w:pPr>
              <w:rPr>
                <w:color w:val="auto"/>
                <w:sz w:val="24"/>
                <w:szCs w:val="24"/>
              </w:rPr>
            </w:pPr>
            <w:r>
              <w:rPr>
                <w:color w:val="auto"/>
                <w:sz w:val="24"/>
                <w:szCs w:val="24"/>
              </w:rPr>
              <w:t xml:space="preserve">Tiêu chí </w:t>
            </w:r>
            <w:r>
              <w:rPr>
                <w:rFonts w:hint="default"/>
                <w:color w:val="auto"/>
                <w:sz w:val="24"/>
                <w:szCs w:val="24"/>
                <w:lang w:val="en-US"/>
              </w:rPr>
              <w:t xml:space="preserve">2.3, </w:t>
            </w:r>
            <w:r>
              <w:rPr>
                <w:color w:val="auto"/>
                <w:sz w:val="24"/>
                <w:szCs w:val="24"/>
              </w:rPr>
              <w:t>Tiêu chí 6</w:t>
            </w:r>
          </w:p>
        </w:tc>
        <w:tc>
          <w:tcPr>
            <w:tcW w:w="1308" w:type="dxa"/>
          </w:tcPr>
          <w:p w14:paraId="0A7B24ED">
            <w:pPr>
              <w:jc w:val="center"/>
              <w:rPr>
                <w:color w:val="auto"/>
                <w:sz w:val="24"/>
                <w:szCs w:val="24"/>
              </w:rPr>
            </w:pPr>
          </w:p>
        </w:tc>
        <w:tc>
          <w:tcPr>
            <w:tcW w:w="2410" w:type="dxa"/>
          </w:tcPr>
          <w:p w14:paraId="315281B9">
            <w:pPr>
              <w:ind w:firstLine="284"/>
              <w:jc w:val="both"/>
              <w:rPr>
                <w:color w:val="auto"/>
                <w:sz w:val="24"/>
                <w:szCs w:val="24"/>
              </w:rPr>
            </w:pPr>
            <w:r>
              <w:rPr>
                <w:color w:val="auto"/>
                <w:sz w:val="24"/>
                <w:szCs w:val="24"/>
              </w:rPr>
              <w:t>Cần làm rõ, hoàn thiện thêm Tiêu chí rà soát văn bản, bổ sung Tiêu chí 2 “không thống nhất trong cùng một văn bản”.</w:t>
            </w:r>
          </w:p>
        </w:tc>
      </w:tr>
      <w:tr w14:paraId="7B1655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30" w:hRule="atLeast"/>
          <w:jc w:val="center"/>
        </w:trPr>
        <w:tc>
          <w:tcPr>
            <w:tcW w:w="13237" w:type="dxa"/>
            <w:gridSpan w:val="8"/>
          </w:tcPr>
          <w:p w14:paraId="3972A36B">
            <w:pPr>
              <w:pStyle w:val="3"/>
              <w:ind w:firstLine="284"/>
              <w:rPr>
                <w:color w:val="auto"/>
              </w:rPr>
            </w:pPr>
            <w:r>
              <w:rPr>
                <w:color w:val="auto"/>
                <w:sz w:val="24"/>
                <w:szCs w:val="24"/>
              </w:rPr>
              <w:t>VIII. LĨNH VỰC CHUYỂN GIAO CÔNG NGHỆ</w:t>
            </w:r>
          </w:p>
        </w:tc>
        <w:tc>
          <w:tcPr>
            <w:tcW w:w="2410" w:type="dxa"/>
          </w:tcPr>
          <w:p w14:paraId="60650309">
            <w:pPr>
              <w:pStyle w:val="3"/>
              <w:ind w:firstLine="284"/>
              <w:jc w:val="both"/>
              <w:rPr>
                <w:color w:val="auto"/>
                <w:sz w:val="24"/>
                <w:szCs w:val="24"/>
              </w:rPr>
            </w:pPr>
          </w:p>
        </w:tc>
      </w:tr>
      <w:tr w14:paraId="505ED6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30" w:hRule="atLeast"/>
          <w:jc w:val="center"/>
        </w:trPr>
        <w:tc>
          <w:tcPr>
            <w:tcW w:w="704" w:type="dxa"/>
            <w:vMerge w:val="restart"/>
          </w:tcPr>
          <w:p w14:paraId="770EB68E">
            <w:pPr>
              <w:numPr>
                <w:ilvl w:val="0"/>
                <w:numId w:val="7"/>
              </w:numPr>
              <w:tabs>
                <w:tab w:val="left" w:pos="425"/>
              </w:tabs>
              <w:jc w:val="center"/>
              <w:rPr>
                <w:color w:val="auto"/>
                <w:sz w:val="24"/>
                <w:szCs w:val="24"/>
              </w:rPr>
            </w:pPr>
          </w:p>
        </w:tc>
        <w:tc>
          <w:tcPr>
            <w:tcW w:w="1843" w:type="dxa"/>
            <w:vMerge w:val="restart"/>
          </w:tcPr>
          <w:p w14:paraId="6CD784B6">
            <w:pPr>
              <w:jc w:val="both"/>
              <w:rPr>
                <w:color w:val="auto"/>
                <w:sz w:val="24"/>
                <w:szCs w:val="24"/>
              </w:rPr>
            </w:pPr>
            <w:r>
              <w:rPr>
                <w:color w:val="auto"/>
                <w:sz w:val="24"/>
                <w:szCs w:val="24"/>
              </w:rPr>
              <w:t>Luật Chuyển giao công nghệ</w:t>
            </w:r>
          </w:p>
        </w:tc>
        <w:tc>
          <w:tcPr>
            <w:tcW w:w="1417" w:type="dxa"/>
          </w:tcPr>
          <w:p w14:paraId="079C6325">
            <w:pPr>
              <w:jc w:val="both"/>
              <w:rPr>
                <w:color w:val="auto"/>
                <w:sz w:val="24"/>
                <w:szCs w:val="24"/>
              </w:rPr>
            </w:pPr>
            <w:r>
              <w:rPr>
                <w:color w:val="auto"/>
                <w:sz w:val="24"/>
                <w:szCs w:val="24"/>
              </w:rPr>
              <w:t>Cải cách TTHC</w:t>
            </w:r>
          </w:p>
        </w:tc>
        <w:tc>
          <w:tcPr>
            <w:tcW w:w="4051" w:type="dxa"/>
          </w:tcPr>
          <w:p w14:paraId="2CD628BF">
            <w:pPr>
              <w:jc w:val="both"/>
              <w:rPr>
                <w:color w:val="auto"/>
                <w:sz w:val="24"/>
                <w:szCs w:val="24"/>
              </w:rPr>
            </w:pPr>
            <w:r>
              <w:rPr>
                <w:color w:val="auto"/>
                <w:sz w:val="24"/>
                <w:szCs w:val="24"/>
              </w:rPr>
              <w:t xml:space="preserve">Khoản 2 Điều 41 Luật Chuyển giao công nghệ năm 2017 quy định Bộ Khoa học và Công nghệ chủ trì, phối hợp với Bộ, cơ quan ngang Bộ có liên quan xây dựng, trình Thủ tướng Chính phủ phê duyệt chương trình để phát triển thị trường khoa học và công nghệ quốc gia. </w:t>
            </w:r>
            <w:r>
              <w:rPr>
                <w:color w:val="auto"/>
                <w:sz w:val="24"/>
                <w:szCs w:val="24"/>
              </w:rPr>
              <w:br w:type="textWrapping"/>
            </w:r>
            <w:r>
              <w:rPr>
                <w:color w:val="auto"/>
                <w:sz w:val="24"/>
                <w:szCs w:val="24"/>
              </w:rPr>
              <w:t xml:space="preserve">Tuy nhiên, quy định này chưa thống nhất với chủ trương phân quyền, phân cấp và pháp luật về khoa học, công nghệ và đổi mới sáng tạo đối với thẩm quyền xây dựng, phê duyệt, tổ chức thực hiện chương trình. Nghị định số 133/2025/NĐ-CP đã phân quyền cho Bộ trưởng Bộ Khoa học và Công nghệ phê duyệt chương trình này nhưng có thời hạn hiệu lực đến ngày 01/3/2027. </w:t>
            </w:r>
            <w:r>
              <w:rPr>
                <w:color w:val="auto"/>
                <w:sz w:val="24"/>
                <w:szCs w:val="24"/>
              </w:rPr>
              <w:br w:type="textWrapping"/>
            </w:r>
            <w:r>
              <w:rPr>
                <w:color w:val="auto"/>
                <w:sz w:val="24"/>
                <w:szCs w:val="24"/>
              </w:rPr>
              <w:t xml:space="preserve">Nếu không sửa đổi Luật, sau khi Nghị định số 133/2025/NĐ-CP hết hiệu lực có thể phát sinh vướng mắc về thẩm quyền, làm kéo dài quy trình phê duyệt và ảnh hưởng đến tính chủ động trong triển khai chương trình phát triển thị trường khoa học và công nghệ quốc gia. </w:t>
            </w:r>
          </w:p>
        </w:tc>
        <w:tc>
          <w:tcPr>
            <w:tcW w:w="1394" w:type="dxa"/>
            <w:vMerge w:val="restart"/>
          </w:tcPr>
          <w:p w14:paraId="584EA1BB">
            <w:pPr>
              <w:jc w:val="both"/>
              <w:rPr>
                <w:color w:val="auto"/>
                <w:sz w:val="24"/>
                <w:szCs w:val="24"/>
              </w:rPr>
            </w:pPr>
            <w:r>
              <w:rPr>
                <w:color w:val="auto"/>
                <w:sz w:val="24"/>
                <w:szCs w:val="24"/>
              </w:rPr>
              <w:t>Văn bản sửa đổi, bổ sung</w:t>
            </w:r>
          </w:p>
        </w:tc>
        <w:tc>
          <w:tcPr>
            <w:tcW w:w="1275" w:type="dxa"/>
            <w:vMerge w:val="restart"/>
          </w:tcPr>
          <w:p w14:paraId="2ED58B6E">
            <w:pPr>
              <w:jc w:val="center"/>
              <w:rPr>
                <w:color w:val="auto"/>
                <w:sz w:val="24"/>
                <w:szCs w:val="24"/>
              </w:rPr>
            </w:pPr>
            <w:r>
              <w:rPr>
                <w:color w:val="auto"/>
                <w:sz w:val="24"/>
                <w:szCs w:val="24"/>
              </w:rPr>
              <w:t>Tháng 3/2027</w:t>
            </w:r>
          </w:p>
        </w:tc>
        <w:tc>
          <w:tcPr>
            <w:tcW w:w="1245" w:type="dxa"/>
          </w:tcPr>
          <w:p w14:paraId="2F9EA2D9">
            <w:pPr>
              <w:jc w:val="center"/>
              <w:rPr>
                <w:color w:val="auto"/>
                <w:sz w:val="24"/>
                <w:szCs w:val="24"/>
              </w:rPr>
            </w:pPr>
            <w:r>
              <w:rPr>
                <w:color w:val="auto"/>
                <w:sz w:val="24"/>
                <w:szCs w:val="24"/>
              </w:rPr>
              <w:t>Tiêu chí 4</w:t>
            </w:r>
          </w:p>
        </w:tc>
        <w:tc>
          <w:tcPr>
            <w:tcW w:w="1308" w:type="dxa"/>
            <w:vMerge w:val="restart"/>
          </w:tcPr>
          <w:p w14:paraId="59917BF8">
            <w:pPr>
              <w:jc w:val="center"/>
              <w:rPr>
                <w:color w:val="auto"/>
                <w:sz w:val="24"/>
                <w:szCs w:val="24"/>
              </w:rPr>
            </w:pPr>
            <w:r>
              <w:rPr>
                <w:color w:val="auto"/>
                <w:sz w:val="24"/>
                <w:szCs w:val="24"/>
              </w:rPr>
              <w:t>Đã cập nhật theo ý kiến thẩm định  (bỏ nội dung về việc ký kết hợp đồng trước khi phê duyệt dự án đầu tư)</w:t>
            </w:r>
          </w:p>
        </w:tc>
        <w:tc>
          <w:tcPr>
            <w:tcW w:w="2410" w:type="dxa"/>
          </w:tcPr>
          <w:p w14:paraId="27A5B19B">
            <w:pPr>
              <w:widowControl w:val="0"/>
              <w:spacing w:line="276" w:lineRule="auto"/>
              <w:ind w:firstLine="284"/>
              <w:jc w:val="both"/>
              <w:rPr>
                <w:color w:val="auto"/>
                <w:sz w:val="24"/>
                <w:szCs w:val="24"/>
              </w:rPr>
            </w:pPr>
            <w:r>
              <w:rPr>
                <w:color w:val="auto"/>
                <w:sz w:val="24"/>
                <w:szCs w:val="24"/>
              </w:rPr>
              <w:t>Nhất trí</w:t>
            </w:r>
          </w:p>
        </w:tc>
      </w:tr>
      <w:tr w14:paraId="52396F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76" w:hRule="atLeast"/>
          <w:jc w:val="center"/>
        </w:trPr>
        <w:tc>
          <w:tcPr>
            <w:tcW w:w="704" w:type="dxa"/>
            <w:vMerge w:val="continue"/>
          </w:tcPr>
          <w:p w14:paraId="3FB21409">
            <w:pPr>
              <w:widowControl w:val="0"/>
              <w:spacing w:line="276" w:lineRule="auto"/>
              <w:rPr>
                <w:color w:val="auto"/>
                <w:sz w:val="24"/>
                <w:szCs w:val="24"/>
              </w:rPr>
            </w:pPr>
          </w:p>
        </w:tc>
        <w:tc>
          <w:tcPr>
            <w:tcW w:w="1843" w:type="dxa"/>
            <w:vMerge w:val="continue"/>
          </w:tcPr>
          <w:p w14:paraId="073D4362">
            <w:pPr>
              <w:jc w:val="both"/>
              <w:rPr>
                <w:color w:val="auto"/>
                <w:sz w:val="24"/>
                <w:szCs w:val="24"/>
              </w:rPr>
            </w:pPr>
          </w:p>
        </w:tc>
        <w:tc>
          <w:tcPr>
            <w:tcW w:w="1417" w:type="dxa"/>
            <w:vMerge w:val="restart"/>
          </w:tcPr>
          <w:p w14:paraId="51B946C0">
            <w:pPr>
              <w:jc w:val="both"/>
              <w:rPr>
                <w:color w:val="auto"/>
                <w:sz w:val="24"/>
                <w:szCs w:val="24"/>
              </w:rPr>
            </w:pPr>
            <w:r>
              <w:rPr>
                <w:color w:val="auto"/>
                <w:sz w:val="24"/>
                <w:szCs w:val="24"/>
              </w:rPr>
              <w:t>Cải cách TTHC</w:t>
            </w:r>
          </w:p>
        </w:tc>
        <w:tc>
          <w:tcPr>
            <w:tcW w:w="4051" w:type="dxa"/>
            <w:vMerge w:val="restart"/>
          </w:tcPr>
          <w:p w14:paraId="588FB6AD">
            <w:pPr>
              <w:jc w:val="both"/>
              <w:rPr>
                <w:color w:val="auto"/>
                <w:sz w:val="24"/>
                <w:szCs w:val="24"/>
              </w:rPr>
            </w:pPr>
            <w:r>
              <w:rPr>
                <w:color w:val="auto"/>
                <w:sz w:val="24"/>
                <w:szCs w:val="24"/>
              </w:rPr>
              <w:t xml:space="preserve">Khoản 2 Điều 54 Luật Chuyển giao công nghệ năm 2017 quy định Bộ Khoa học và Công nghệ chủ trì xây dựng chương trình, đề án, chính sách về nhập khẩu công nghệ, phát triển thị trường khoa học và công nghệ, thúc đẩy hoạt động chuyển giao, ứng dụng, đổi mới công nghệ trình Thủ tướng Chính phủ quyết định. </w:t>
            </w:r>
            <w:r>
              <w:rPr>
                <w:color w:val="auto"/>
                <w:sz w:val="24"/>
                <w:szCs w:val="24"/>
              </w:rPr>
              <w:br w:type="textWrapping"/>
            </w:r>
            <w:r>
              <w:rPr>
                <w:color w:val="auto"/>
                <w:sz w:val="24"/>
                <w:szCs w:val="24"/>
              </w:rPr>
              <w:t xml:space="preserve">Tuy nhiên, quy định này chưa thống nhất với pháp luật về khoa học, công nghệ và đổi mới sáng tạo và chủ trương phân quyền, phân cấp trong quản lý nhà nước. Nghị định số 133/2025/NĐ-CP đã phân quyền cho Bộ trưởng Bộ Khoa học và Công nghệ quyết định các chương trình, đề án, chính sách nêu trên nhưng có thời hạn hiệu lực đến ngày 01/3/2027. </w:t>
            </w:r>
            <w:r>
              <w:rPr>
                <w:color w:val="auto"/>
                <w:sz w:val="24"/>
                <w:szCs w:val="24"/>
              </w:rPr>
              <w:br w:type="textWrapping"/>
            </w:r>
            <w:r>
              <w:rPr>
                <w:color w:val="auto"/>
                <w:sz w:val="24"/>
                <w:szCs w:val="24"/>
              </w:rPr>
              <w:t xml:space="preserve">Nếu không sửa đổi Luật, sau thời điểm Nghị định số 133/2025/NĐ-CP hết hiệu lực có thể phát sinh vướng mắc về thẩm quyền quyết định, ảnh hưởng đến tính liên tục, chủ động và hiệu quả trong tổ chức thực hiện chính sách về nhập khẩu công nghệ, phát triển thị trường khoa học và công nghệ, chuyển giao, ứng dụng và đổi mới công nghệ. </w:t>
            </w:r>
          </w:p>
        </w:tc>
        <w:tc>
          <w:tcPr>
            <w:tcW w:w="1394" w:type="dxa"/>
            <w:vMerge w:val="continue"/>
          </w:tcPr>
          <w:p w14:paraId="2F12C281">
            <w:pPr>
              <w:widowControl w:val="0"/>
              <w:spacing w:line="276" w:lineRule="auto"/>
              <w:rPr>
                <w:color w:val="auto"/>
                <w:sz w:val="24"/>
                <w:szCs w:val="24"/>
              </w:rPr>
            </w:pPr>
          </w:p>
        </w:tc>
        <w:tc>
          <w:tcPr>
            <w:tcW w:w="1275" w:type="dxa"/>
            <w:vMerge w:val="continue"/>
          </w:tcPr>
          <w:p w14:paraId="4EA0FF68">
            <w:pPr>
              <w:jc w:val="center"/>
              <w:rPr>
                <w:color w:val="auto"/>
                <w:sz w:val="24"/>
                <w:szCs w:val="24"/>
              </w:rPr>
            </w:pPr>
          </w:p>
        </w:tc>
        <w:tc>
          <w:tcPr>
            <w:tcW w:w="1245" w:type="dxa"/>
            <w:vMerge w:val="restart"/>
          </w:tcPr>
          <w:p w14:paraId="7D303AE8">
            <w:pPr>
              <w:jc w:val="center"/>
              <w:rPr>
                <w:color w:val="auto"/>
                <w:sz w:val="24"/>
                <w:szCs w:val="24"/>
              </w:rPr>
            </w:pPr>
            <w:r>
              <w:rPr>
                <w:color w:val="auto"/>
                <w:sz w:val="24"/>
                <w:szCs w:val="24"/>
              </w:rPr>
              <w:t>Tiêu chí 4</w:t>
            </w:r>
          </w:p>
          <w:p w14:paraId="7C54835C">
            <w:pPr>
              <w:jc w:val="center"/>
              <w:rPr>
                <w:color w:val="auto"/>
                <w:sz w:val="24"/>
                <w:szCs w:val="24"/>
              </w:rPr>
            </w:pPr>
            <w:r>
              <w:rPr>
                <w:color w:val="auto"/>
                <w:sz w:val="24"/>
                <w:szCs w:val="24"/>
              </w:rPr>
              <w:t xml:space="preserve"> </w:t>
            </w:r>
          </w:p>
        </w:tc>
        <w:tc>
          <w:tcPr>
            <w:tcW w:w="1308" w:type="dxa"/>
            <w:vMerge w:val="continue"/>
          </w:tcPr>
          <w:p w14:paraId="3B35065A">
            <w:pPr>
              <w:widowControl w:val="0"/>
              <w:spacing w:line="276" w:lineRule="auto"/>
              <w:rPr>
                <w:color w:val="auto"/>
                <w:sz w:val="24"/>
                <w:szCs w:val="24"/>
              </w:rPr>
            </w:pPr>
          </w:p>
        </w:tc>
        <w:tc>
          <w:tcPr>
            <w:tcW w:w="2410" w:type="dxa"/>
          </w:tcPr>
          <w:p w14:paraId="7CFE9719">
            <w:pPr>
              <w:widowControl w:val="0"/>
              <w:spacing w:line="276" w:lineRule="auto"/>
              <w:ind w:firstLine="284"/>
              <w:jc w:val="both"/>
              <w:rPr>
                <w:color w:val="auto"/>
                <w:sz w:val="24"/>
                <w:szCs w:val="24"/>
              </w:rPr>
            </w:pPr>
            <w:r>
              <w:rPr>
                <w:color w:val="auto"/>
                <w:sz w:val="24"/>
                <w:szCs w:val="24"/>
              </w:rPr>
              <w:t>Nhất trí</w:t>
            </w:r>
          </w:p>
        </w:tc>
      </w:tr>
      <w:tr w14:paraId="317EF5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89" w:hRule="atLeast"/>
          <w:jc w:val="center"/>
        </w:trPr>
        <w:tc>
          <w:tcPr>
            <w:tcW w:w="704" w:type="dxa"/>
            <w:vMerge w:val="continue"/>
          </w:tcPr>
          <w:p w14:paraId="56FE292C">
            <w:pPr>
              <w:widowControl w:val="0"/>
              <w:spacing w:line="276" w:lineRule="auto"/>
              <w:rPr>
                <w:color w:val="auto"/>
                <w:sz w:val="24"/>
                <w:szCs w:val="24"/>
              </w:rPr>
            </w:pPr>
          </w:p>
        </w:tc>
        <w:tc>
          <w:tcPr>
            <w:tcW w:w="1843" w:type="dxa"/>
            <w:vMerge w:val="continue"/>
          </w:tcPr>
          <w:p w14:paraId="08797F9E">
            <w:pPr>
              <w:jc w:val="both"/>
              <w:rPr>
                <w:color w:val="auto"/>
                <w:sz w:val="24"/>
                <w:szCs w:val="24"/>
              </w:rPr>
            </w:pPr>
          </w:p>
        </w:tc>
        <w:tc>
          <w:tcPr>
            <w:tcW w:w="1417" w:type="dxa"/>
            <w:vMerge w:val="continue"/>
          </w:tcPr>
          <w:p w14:paraId="30E1C53C">
            <w:pPr>
              <w:jc w:val="both"/>
              <w:rPr>
                <w:color w:val="auto"/>
                <w:sz w:val="24"/>
                <w:szCs w:val="24"/>
              </w:rPr>
            </w:pPr>
          </w:p>
        </w:tc>
        <w:tc>
          <w:tcPr>
            <w:tcW w:w="4051" w:type="dxa"/>
            <w:vMerge w:val="continue"/>
          </w:tcPr>
          <w:p w14:paraId="69322E09">
            <w:pPr>
              <w:jc w:val="both"/>
              <w:rPr>
                <w:color w:val="auto"/>
                <w:sz w:val="24"/>
                <w:szCs w:val="24"/>
              </w:rPr>
            </w:pPr>
          </w:p>
        </w:tc>
        <w:tc>
          <w:tcPr>
            <w:tcW w:w="1394" w:type="dxa"/>
            <w:vMerge w:val="continue"/>
          </w:tcPr>
          <w:p w14:paraId="6CD152EE">
            <w:pPr>
              <w:widowControl w:val="0"/>
              <w:spacing w:line="276" w:lineRule="auto"/>
              <w:rPr>
                <w:color w:val="auto"/>
                <w:sz w:val="24"/>
                <w:szCs w:val="24"/>
              </w:rPr>
            </w:pPr>
          </w:p>
        </w:tc>
        <w:tc>
          <w:tcPr>
            <w:tcW w:w="1275" w:type="dxa"/>
            <w:vMerge w:val="continue"/>
          </w:tcPr>
          <w:p w14:paraId="2DAD4D68">
            <w:pPr>
              <w:jc w:val="center"/>
              <w:rPr>
                <w:color w:val="auto"/>
                <w:sz w:val="24"/>
                <w:szCs w:val="24"/>
              </w:rPr>
            </w:pPr>
          </w:p>
        </w:tc>
        <w:tc>
          <w:tcPr>
            <w:tcW w:w="1245" w:type="dxa"/>
            <w:vMerge w:val="continue"/>
          </w:tcPr>
          <w:p w14:paraId="771B50F1">
            <w:pPr>
              <w:jc w:val="center"/>
              <w:rPr>
                <w:color w:val="auto"/>
                <w:sz w:val="24"/>
                <w:szCs w:val="24"/>
              </w:rPr>
            </w:pPr>
          </w:p>
        </w:tc>
        <w:tc>
          <w:tcPr>
            <w:tcW w:w="1308" w:type="dxa"/>
            <w:vMerge w:val="continue"/>
          </w:tcPr>
          <w:p w14:paraId="57071840">
            <w:pPr>
              <w:widowControl w:val="0"/>
              <w:spacing w:line="276" w:lineRule="auto"/>
              <w:rPr>
                <w:color w:val="auto"/>
                <w:sz w:val="24"/>
                <w:szCs w:val="24"/>
              </w:rPr>
            </w:pPr>
          </w:p>
        </w:tc>
        <w:tc>
          <w:tcPr>
            <w:tcW w:w="2410" w:type="dxa"/>
          </w:tcPr>
          <w:p w14:paraId="58D00C16">
            <w:pPr>
              <w:widowControl w:val="0"/>
              <w:spacing w:line="276" w:lineRule="auto"/>
              <w:ind w:firstLine="284"/>
              <w:jc w:val="both"/>
              <w:rPr>
                <w:color w:val="auto"/>
                <w:sz w:val="24"/>
                <w:szCs w:val="24"/>
              </w:rPr>
            </w:pPr>
          </w:p>
        </w:tc>
      </w:tr>
      <w:tr w14:paraId="4626DE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65" w:hRule="atLeast"/>
          <w:jc w:val="center"/>
        </w:trPr>
        <w:tc>
          <w:tcPr>
            <w:tcW w:w="704" w:type="dxa"/>
            <w:vMerge w:val="continue"/>
          </w:tcPr>
          <w:p w14:paraId="02C7B3EB">
            <w:pPr>
              <w:widowControl w:val="0"/>
              <w:spacing w:line="276" w:lineRule="auto"/>
              <w:rPr>
                <w:color w:val="auto"/>
                <w:sz w:val="24"/>
                <w:szCs w:val="24"/>
              </w:rPr>
            </w:pPr>
          </w:p>
        </w:tc>
        <w:tc>
          <w:tcPr>
            <w:tcW w:w="1843" w:type="dxa"/>
            <w:vMerge w:val="continue"/>
          </w:tcPr>
          <w:p w14:paraId="5B252DD9">
            <w:pPr>
              <w:jc w:val="both"/>
              <w:rPr>
                <w:color w:val="auto"/>
                <w:sz w:val="24"/>
                <w:szCs w:val="24"/>
              </w:rPr>
            </w:pPr>
          </w:p>
        </w:tc>
        <w:tc>
          <w:tcPr>
            <w:tcW w:w="1417" w:type="dxa"/>
          </w:tcPr>
          <w:p w14:paraId="59B78FB2">
            <w:pPr>
              <w:jc w:val="both"/>
              <w:rPr>
                <w:color w:val="auto"/>
                <w:sz w:val="24"/>
                <w:szCs w:val="24"/>
              </w:rPr>
            </w:pPr>
            <w:r>
              <w:rPr>
                <w:color w:val="auto"/>
                <w:sz w:val="24"/>
                <w:szCs w:val="24"/>
              </w:rPr>
              <w:t>Nghị quyết 57-NQ/TW ngày 22/12/2024 của Bộ Chính trị; Nghị quyết số 68-NQ/TW ngày 04/5/2025 của Ban Chấp hành Trung ương Đảng; Nghị quyết Đại hội, đại biểu toàn quốc lần thứu XIV; Nghị quyêt số 52-NQ/TW</w:t>
            </w:r>
          </w:p>
        </w:tc>
        <w:tc>
          <w:tcPr>
            <w:tcW w:w="4051" w:type="dxa"/>
          </w:tcPr>
          <w:p w14:paraId="763B5620">
            <w:pPr>
              <w:jc w:val="both"/>
              <w:rPr>
                <w:color w:val="auto"/>
                <w:sz w:val="24"/>
                <w:szCs w:val="24"/>
              </w:rPr>
            </w:pPr>
            <w:r>
              <w:rPr>
                <w:color w:val="auto"/>
                <w:sz w:val="24"/>
                <w:szCs w:val="24"/>
              </w:rPr>
              <w:t xml:space="preserve">Mục II.1 Nghị quyết 57-NQ/TW ngày 22/12/2024 của Bộ Chính trị; Mục II.1 Nghị quyết số 68-NQ/TW Mục II.1 ngày 04/5/2025 của Ban Chấp hành Trung ương Đảng; Nghị quyết Đại hội, đại biểu toàn quốc lần thứu XIV; Mục II.3 Nghị quyêt số 52-NQ/TW ngày 27/9/2019 của Bộ Chính trị; </w:t>
            </w:r>
            <w:r>
              <w:rPr>
                <w:color w:val="auto"/>
                <w:sz w:val="24"/>
                <w:szCs w:val="24"/>
              </w:rPr>
              <w:br w:type="textWrapping"/>
            </w:r>
            <w:r>
              <w:rPr>
                <w:color w:val="auto"/>
                <w:sz w:val="24"/>
                <w:szCs w:val="24"/>
              </w:rPr>
              <w:t>Điều 55 Luật Chuyển giao công nghệ năm 2017 đã quy định trách nhiệm của Bộ, cơ quan ngang Bộ trong phối hợp với Bộ Khoa học và Công nghệ thực hiện quản lý nhà nước về chuyển giao công nghệ. Tuy nhiên, quy định hiện hành chưa làm rõ trách nhiệm định kỳ đánh giá trình độ, năng lực công nghệ trong ngành, lĩnh vực thuộc phạm vi quản lý.</w:t>
            </w:r>
          </w:p>
          <w:p w14:paraId="5C419E26">
            <w:pPr>
              <w:jc w:val="both"/>
              <w:rPr>
                <w:color w:val="auto"/>
                <w:sz w:val="24"/>
                <w:szCs w:val="24"/>
              </w:rPr>
            </w:pPr>
            <w:r>
              <w:rPr>
                <w:color w:val="auto"/>
                <w:sz w:val="24"/>
                <w:szCs w:val="24"/>
              </w:rPr>
              <w:t xml:space="preserve"> Thực tiễn cho thấy đánh giá trình độ, năng lực công nghệ là cơ sở quan trọng để nhận diện hiện trạng công nghệ, nhu cầu đổi mới công nghệ, khả năng hấp thụ, làm chủ công nghệ của doanh nghiệp trong từng ngành, lĩnh vực. Nếu chưa luật hóa trách nhiệm này, việc thu thập dữ liệu, xây dựng cơ sở dữ liệu, so sánh giữa các ngành, lĩnh vực và phục vụ hoạch định chính sách sẽ thiếu thống nhất. </w:t>
            </w:r>
            <w:r>
              <w:rPr>
                <w:color w:val="auto"/>
                <w:sz w:val="24"/>
                <w:szCs w:val="24"/>
              </w:rPr>
              <w:br w:type="textWrapping"/>
            </w:r>
            <w:r>
              <w:rPr>
                <w:color w:val="auto"/>
                <w:sz w:val="24"/>
                <w:szCs w:val="24"/>
              </w:rPr>
              <w:t xml:space="preserve">Bên cạnh đó, Điều 55 chưa quy định trách nhiệm của Bộ, cơ quan ngang Bộ trong xây dựng, cập nhật lộ trình công nghệ, lộ trình đổi mới công nghệ đối với ngành, lĩnh vực, sản phẩm, chuỗi giá trị, ngành kinh tế mũi nhọn thuộc phạm vi quản lý. Đây là nội dung cần bổ sung để tạo cơ sở pháp lý cho bộ, ngành xác định công nghệ ưu tiên, nhiệm vụ trọng tâm, nguồn lực và tiến độ đổi mới công nghệ đến năm 2035. </w:t>
            </w:r>
          </w:p>
          <w:p w14:paraId="433F43E9">
            <w:pPr>
              <w:jc w:val="both"/>
              <w:rPr>
                <w:color w:val="auto"/>
                <w:sz w:val="24"/>
                <w:szCs w:val="24"/>
              </w:rPr>
            </w:pPr>
            <w:r>
              <w:rPr>
                <w:color w:val="auto"/>
                <w:sz w:val="24"/>
                <w:szCs w:val="24"/>
              </w:rPr>
              <w:t>Quy định hiện hành chưa làm rõ trách nhiệm của Ủy ban nhân dân cấp tỉnh trong việc hằng năm và theo giai đoạn 05 năm tổ chức đánh giá trình độ, năng lực công nghệ của doanh nghiệp, ngành, lĩnh vực, sản phẩm chủ lực, sản phẩm có lợi thế của địa phương. Đây là cơ sở quan trọng để địa phương xác định hiện trạng công nghệ, nhu cầu đổi mới công nghệ, ngành kinh tế mũi nhọn, sản phẩm chủ lực và chính sách hỗ trợ phù hợp. Bên cạnh đó, Điều 56 chưa quy định trách nhiệm xây dựng, cập nhật lộ trình công nghệ, lộ trình đổi mới công nghệ đối với ngành kinh tế mũi nhọn, sản phẩm chủ lực, sản phẩm có lợi thế cạnh tranh của địa phương. Việc bổ sung nội dung này là cần thiết để tạo cơ sở pháp lý cho địa phương lồng ghép lộ trình công nghệ vào chiến lược, quy hoạch, kế hoạch phát triển kinh tế - xã hội và kế hoạch khoa học, công nghệ, đổi mới sáng tạo.</w:t>
            </w:r>
          </w:p>
        </w:tc>
        <w:tc>
          <w:tcPr>
            <w:tcW w:w="1394" w:type="dxa"/>
            <w:vMerge w:val="continue"/>
          </w:tcPr>
          <w:p w14:paraId="7510D964">
            <w:pPr>
              <w:widowControl w:val="0"/>
              <w:spacing w:line="276" w:lineRule="auto"/>
              <w:rPr>
                <w:color w:val="auto"/>
                <w:sz w:val="24"/>
                <w:szCs w:val="24"/>
              </w:rPr>
            </w:pPr>
          </w:p>
        </w:tc>
        <w:tc>
          <w:tcPr>
            <w:tcW w:w="1275" w:type="dxa"/>
            <w:vMerge w:val="continue"/>
          </w:tcPr>
          <w:p w14:paraId="3D034F14">
            <w:pPr>
              <w:jc w:val="center"/>
              <w:rPr>
                <w:color w:val="auto"/>
                <w:sz w:val="24"/>
                <w:szCs w:val="24"/>
              </w:rPr>
            </w:pPr>
          </w:p>
        </w:tc>
        <w:tc>
          <w:tcPr>
            <w:tcW w:w="1245" w:type="dxa"/>
          </w:tcPr>
          <w:p w14:paraId="78AB9E67">
            <w:pPr>
              <w:jc w:val="center"/>
              <w:rPr>
                <w:color w:val="auto"/>
                <w:sz w:val="24"/>
                <w:szCs w:val="24"/>
              </w:rPr>
            </w:pPr>
            <w:r>
              <w:rPr>
                <w:color w:val="auto"/>
                <w:sz w:val="24"/>
                <w:szCs w:val="24"/>
              </w:rPr>
              <w:t>Tiêu chí 1.2</w:t>
            </w:r>
          </w:p>
        </w:tc>
        <w:tc>
          <w:tcPr>
            <w:tcW w:w="1308" w:type="dxa"/>
            <w:vMerge w:val="continue"/>
          </w:tcPr>
          <w:p w14:paraId="2AEB8059">
            <w:pPr>
              <w:widowControl w:val="0"/>
              <w:spacing w:line="276" w:lineRule="auto"/>
              <w:rPr>
                <w:color w:val="auto"/>
                <w:sz w:val="24"/>
                <w:szCs w:val="24"/>
              </w:rPr>
            </w:pPr>
          </w:p>
        </w:tc>
        <w:tc>
          <w:tcPr>
            <w:tcW w:w="2410" w:type="dxa"/>
          </w:tcPr>
          <w:p w14:paraId="43D5DE3C">
            <w:pPr>
              <w:widowControl w:val="0"/>
              <w:spacing w:line="276" w:lineRule="auto"/>
              <w:ind w:firstLine="284"/>
              <w:jc w:val="both"/>
              <w:rPr>
                <w:color w:val="auto"/>
                <w:sz w:val="24"/>
                <w:szCs w:val="24"/>
              </w:rPr>
            </w:pPr>
            <w:r>
              <w:rPr>
                <w:color w:val="auto"/>
                <w:sz w:val="24"/>
                <w:szCs w:val="24"/>
              </w:rPr>
              <w:t>Được đánh giá theo Báo cáo chuyên đề của Bộ Khoa học và Công nghệ.</w:t>
            </w:r>
          </w:p>
        </w:tc>
      </w:tr>
      <w:tr w14:paraId="75448C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65" w:hRule="atLeast"/>
          <w:jc w:val="center"/>
        </w:trPr>
        <w:tc>
          <w:tcPr>
            <w:tcW w:w="704" w:type="dxa"/>
            <w:vMerge w:val="continue"/>
          </w:tcPr>
          <w:p w14:paraId="2C9D1E4F">
            <w:pPr>
              <w:widowControl w:val="0"/>
              <w:spacing w:line="276" w:lineRule="auto"/>
              <w:rPr>
                <w:color w:val="auto"/>
                <w:sz w:val="24"/>
                <w:szCs w:val="24"/>
              </w:rPr>
            </w:pPr>
          </w:p>
        </w:tc>
        <w:tc>
          <w:tcPr>
            <w:tcW w:w="1843" w:type="dxa"/>
            <w:vMerge w:val="continue"/>
          </w:tcPr>
          <w:p w14:paraId="1F73741E">
            <w:pPr>
              <w:jc w:val="both"/>
              <w:rPr>
                <w:color w:val="auto"/>
                <w:sz w:val="24"/>
                <w:szCs w:val="24"/>
              </w:rPr>
            </w:pPr>
          </w:p>
        </w:tc>
        <w:tc>
          <w:tcPr>
            <w:tcW w:w="1417" w:type="dxa"/>
          </w:tcPr>
          <w:p w14:paraId="22C76204">
            <w:pPr>
              <w:jc w:val="both"/>
              <w:rPr>
                <w:color w:val="auto"/>
                <w:sz w:val="24"/>
                <w:szCs w:val="24"/>
              </w:rPr>
            </w:pPr>
            <w:r>
              <w:rPr>
                <w:color w:val="auto"/>
                <w:sz w:val="24"/>
                <w:szCs w:val="24"/>
              </w:rPr>
              <w:t>Tình hình thực tiễn</w:t>
            </w:r>
          </w:p>
        </w:tc>
        <w:tc>
          <w:tcPr>
            <w:tcW w:w="4051" w:type="dxa"/>
          </w:tcPr>
          <w:p w14:paraId="27DC4BFF">
            <w:pPr>
              <w:jc w:val="both"/>
              <w:rPr>
                <w:color w:val="auto"/>
                <w:sz w:val="24"/>
                <w:szCs w:val="24"/>
              </w:rPr>
            </w:pPr>
            <w:r>
              <w:rPr>
                <w:color w:val="auto"/>
                <w:sz w:val="24"/>
                <w:szCs w:val="24"/>
              </w:rPr>
              <w:t xml:space="preserve">Điều 57 Luật Chuyển giao công nghệ năm 2017 đã quy định về thống kê chuyển giao, ứng dụng, đổi mới công nghệ; trong đó khoản 5 giao Bộ Khoa học và Công nghệ quy định cụ thể việc triển khai thu thập số liệu thống kê. </w:t>
            </w:r>
            <w:r>
              <w:rPr>
                <w:color w:val="auto"/>
                <w:sz w:val="24"/>
                <w:szCs w:val="24"/>
              </w:rPr>
              <w:br w:type="textWrapping"/>
            </w:r>
            <w:r>
              <w:rPr>
                <w:color w:val="auto"/>
                <w:sz w:val="24"/>
                <w:szCs w:val="24"/>
              </w:rPr>
              <w:t xml:space="preserve">Tuy nhiên, quy định này chưa bảo đảm đầy đủ cơ chế điều phối liên ngành, do hoạt động thống kê chuyển giao, ứng dụng, đổi mới công nghệ phát sinh ở nhiều bộ, ngành, địa phương và liên quan đến cơ quan thống kê, thuế, hải quan, tổ chức trung gian, doanh nghiệp. </w:t>
            </w:r>
            <w:r>
              <w:rPr>
                <w:color w:val="auto"/>
                <w:sz w:val="24"/>
                <w:szCs w:val="24"/>
              </w:rPr>
              <w:br w:type="textWrapping"/>
            </w:r>
            <w:r>
              <w:rPr>
                <w:color w:val="auto"/>
                <w:sz w:val="24"/>
                <w:szCs w:val="24"/>
              </w:rPr>
              <w:t>Bên cạnh đó, quy định hiện hành chưa làm rõ hệ chỉ tiêu thống kê, phương pháp thu thập, chế độ báo cáo, cơ chế cập nhật, kết nối, chia sẻ dữ liệu và trách nhiệm của các cơ quan, tổ chức có liên quan. Điều này gây khó khăn trong chuẩn hóa dữ liệu, so sánh giữa các ngành, lĩnh vực, địa phương và đánh giá hiệu quả hoạt động chuyển giao, ứng dụng, đổi mới công nghệ.</w:t>
            </w:r>
          </w:p>
        </w:tc>
        <w:tc>
          <w:tcPr>
            <w:tcW w:w="1394" w:type="dxa"/>
            <w:vMerge w:val="continue"/>
          </w:tcPr>
          <w:p w14:paraId="4BB24975">
            <w:pPr>
              <w:widowControl w:val="0"/>
              <w:spacing w:line="276" w:lineRule="auto"/>
              <w:rPr>
                <w:color w:val="auto"/>
                <w:sz w:val="24"/>
                <w:szCs w:val="24"/>
              </w:rPr>
            </w:pPr>
          </w:p>
        </w:tc>
        <w:tc>
          <w:tcPr>
            <w:tcW w:w="1275" w:type="dxa"/>
            <w:vMerge w:val="continue"/>
          </w:tcPr>
          <w:p w14:paraId="48B409AB">
            <w:pPr>
              <w:jc w:val="center"/>
              <w:rPr>
                <w:color w:val="auto"/>
                <w:sz w:val="24"/>
                <w:szCs w:val="24"/>
              </w:rPr>
            </w:pPr>
          </w:p>
        </w:tc>
        <w:tc>
          <w:tcPr>
            <w:tcW w:w="1245" w:type="dxa"/>
          </w:tcPr>
          <w:p w14:paraId="67FA0D2B">
            <w:pPr>
              <w:jc w:val="center"/>
              <w:rPr>
                <w:color w:val="auto"/>
                <w:sz w:val="24"/>
                <w:szCs w:val="24"/>
              </w:rPr>
            </w:pPr>
            <w:r>
              <w:rPr>
                <w:color w:val="auto"/>
                <w:sz w:val="24"/>
                <w:szCs w:val="24"/>
              </w:rPr>
              <w:t>Tiêu chí 6</w:t>
            </w:r>
          </w:p>
        </w:tc>
        <w:tc>
          <w:tcPr>
            <w:tcW w:w="1308" w:type="dxa"/>
            <w:vMerge w:val="continue"/>
          </w:tcPr>
          <w:p w14:paraId="5957C23B">
            <w:pPr>
              <w:widowControl w:val="0"/>
              <w:spacing w:line="276" w:lineRule="auto"/>
              <w:rPr>
                <w:color w:val="auto"/>
                <w:sz w:val="24"/>
                <w:szCs w:val="24"/>
              </w:rPr>
            </w:pPr>
          </w:p>
        </w:tc>
        <w:tc>
          <w:tcPr>
            <w:tcW w:w="2410" w:type="dxa"/>
          </w:tcPr>
          <w:p w14:paraId="0B99B268">
            <w:pPr>
              <w:widowControl w:val="0"/>
              <w:spacing w:line="276" w:lineRule="auto"/>
              <w:ind w:firstLine="284"/>
              <w:jc w:val="both"/>
              <w:rPr>
                <w:color w:val="auto"/>
                <w:sz w:val="24"/>
                <w:szCs w:val="24"/>
              </w:rPr>
            </w:pPr>
            <w:r>
              <w:rPr>
                <w:color w:val="auto"/>
                <w:sz w:val="24"/>
                <w:szCs w:val="24"/>
              </w:rPr>
              <w:t>Nhất trí</w:t>
            </w:r>
          </w:p>
        </w:tc>
      </w:tr>
      <w:tr w14:paraId="722112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5" w:hRule="atLeast"/>
          <w:jc w:val="center"/>
        </w:trPr>
        <w:tc>
          <w:tcPr>
            <w:tcW w:w="704" w:type="dxa"/>
            <w:vMerge w:val="restart"/>
          </w:tcPr>
          <w:p w14:paraId="7FCBC9C2">
            <w:pPr>
              <w:numPr>
                <w:ilvl w:val="0"/>
                <w:numId w:val="7"/>
              </w:numPr>
              <w:tabs>
                <w:tab w:val="left" w:pos="425"/>
              </w:tabs>
              <w:jc w:val="center"/>
              <w:rPr>
                <w:color w:val="auto"/>
                <w:sz w:val="24"/>
                <w:szCs w:val="24"/>
              </w:rPr>
            </w:pPr>
          </w:p>
        </w:tc>
        <w:tc>
          <w:tcPr>
            <w:tcW w:w="1843" w:type="dxa"/>
            <w:vMerge w:val="restart"/>
          </w:tcPr>
          <w:p w14:paraId="397CE407">
            <w:pPr>
              <w:jc w:val="both"/>
              <w:rPr>
                <w:color w:val="auto"/>
                <w:sz w:val="24"/>
                <w:szCs w:val="24"/>
              </w:rPr>
            </w:pPr>
            <w:r>
              <w:rPr>
                <w:color w:val="auto"/>
                <w:sz w:val="24"/>
                <w:szCs w:val="24"/>
              </w:rPr>
              <w:t>Nghị định số 101/2026/NĐ-CP ngày 31/3/2026 của Chính phủ quy định chi tiết một số điều và biện pháp để hướng dẫn thi hành </w:t>
            </w:r>
            <w:bookmarkStart w:id="5" w:name="tvpllink_kdsjezrrqd_1"/>
            <w:r>
              <w:rPr>
                <w:color w:val="auto"/>
                <w:sz w:val="24"/>
                <w:szCs w:val="24"/>
              </w:rPr>
              <w:t>Luật Chuyển giao công nghệ</w:t>
            </w:r>
            <w:bookmarkEnd w:id="5"/>
          </w:p>
        </w:tc>
        <w:tc>
          <w:tcPr>
            <w:tcW w:w="1417" w:type="dxa"/>
          </w:tcPr>
          <w:p w14:paraId="69C849DD">
            <w:pPr>
              <w:jc w:val="both"/>
              <w:rPr>
                <w:color w:val="auto"/>
                <w:sz w:val="24"/>
                <w:szCs w:val="24"/>
              </w:rPr>
            </w:pPr>
            <w:r>
              <w:rPr>
                <w:color w:val="auto"/>
                <w:sz w:val="24"/>
                <w:szCs w:val="24"/>
              </w:rPr>
              <w:t>Cải cách TTHC</w:t>
            </w:r>
          </w:p>
        </w:tc>
        <w:tc>
          <w:tcPr>
            <w:tcW w:w="4051" w:type="dxa"/>
          </w:tcPr>
          <w:p w14:paraId="3321F982">
            <w:pPr>
              <w:jc w:val="both"/>
              <w:rPr>
                <w:color w:val="auto"/>
                <w:sz w:val="24"/>
                <w:szCs w:val="24"/>
              </w:rPr>
            </w:pPr>
            <w:r>
              <w:rPr>
                <w:color w:val="auto"/>
                <w:sz w:val="24"/>
                <w:szCs w:val="24"/>
              </w:rPr>
              <w:t>Điều kiện về kinh nghiệm làm việc và số lượng chuyên gia được cắt giảm theo quy định tại Mục VII phần Đ, Phụ lục II Nghị quyết số 20/2026/NQ-CP ngày 29/4/2026 của Chính phủ phân cấp, cắt giảm, đơn giản hóa thủ tục hành chính, điều kiện kinh doanh thuộc phạm vi quản lý nhà nước của Bộ Khoa họcvà Công nghệ.</w:t>
            </w:r>
          </w:p>
          <w:p w14:paraId="473FD041">
            <w:pPr>
              <w:jc w:val="both"/>
              <w:rPr>
                <w:color w:val="auto"/>
                <w:sz w:val="24"/>
                <w:szCs w:val="24"/>
              </w:rPr>
            </w:pPr>
            <w:r>
              <w:rPr>
                <w:color w:val="auto"/>
                <w:sz w:val="24"/>
                <w:szCs w:val="24"/>
              </w:rPr>
              <w:t>Xây dựng và trình Chính phủ ban hành 01 Nghị định sửa nhiều Nghị định trong đó sửa đổi, bổ sung khoản 2 Điều 56 của Nghị định số 101/2026/NĐ-CP</w:t>
            </w:r>
          </w:p>
        </w:tc>
        <w:tc>
          <w:tcPr>
            <w:tcW w:w="1394" w:type="dxa"/>
          </w:tcPr>
          <w:p w14:paraId="3315B8B8">
            <w:pPr>
              <w:jc w:val="both"/>
              <w:rPr>
                <w:rFonts w:hint="default"/>
                <w:color w:val="auto"/>
                <w:sz w:val="24"/>
                <w:szCs w:val="24"/>
                <w:lang w:val="en-US"/>
              </w:rPr>
            </w:pPr>
            <w:r>
              <w:rPr>
                <w:rFonts w:hint="default"/>
                <w:color w:val="auto"/>
                <w:sz w:val="24"/>
                <w:szCs w:val="24"/>
                <w:lang w:val="en-US"/>
              </w:rPr>
              <w:t>Sửa đổi, bổ sung</w:t>
            </w:r>
          </w:p>
        </w:tc>
        <w:tc>
          <w:tcPr>
            <w:tcW w:w="1275" w:type="dxa"/>
          </w:tcPr>
          <w:p w14:paraId="4409C215">
            <w:pPr>
              <w:rPr>
                <w:color w:val="auto"/>
                <w:sz w:val="24"/>
                <w:szCs w:val="24"/>
              </w:rPr>
            </w:pPr>
            <w:r>
              <w:rPr>
                <w:rFonts w:hint="default"/>
                <w:color w:val="auto"/>
                <w:sz w:val="24"/>
                <w:szCs w:val="24"/>
                <w:lang w:val="en-US"/>
              </w:rPr>
              <w:t>Tháng 12/</w:t>
            </w:r>
            <w:r>
              <w:rPr>
                <w:color w:val="auto"/>
                <w:sz w:val="24"/>
                <w:szCs w:val="24"/>
              </w:rPr>
              <w:t>2027</w:t>
            </w:r>
          </w:p>
        </w:tc>
        <w:tc>
          <w:tcPr>
            <w:tcW w:w="1245" w:type="dxa"/>
          </w:tcPr>
          <w:p w14:paraId="5C6006EC">
            <w:pPr>
              <w:rPr>
                <w:color w:val="auto"/>
                <w:sz w:val="24"/>
                <w:szCs w:val="24"/>
              </w:rPr>
            </w:pPr>
            <w:r>
              <w:rPr>
                <w:color w:val="auto"/>
                <w:sz w:val="24"/>
                <w:szCs w:val="24"/>
              </w:rPr>
              <w:t>Tiêu chí 4</w:t>
            </w:r>
          </w:p>
        </w:tc>
        <w:tc>
          <w:tcPr>
            <w:tcW w:w="1308" w:type="dxa"/>
            <w:vMerge w:val="restart"/>
          </w:tcPr>
          <w:p w14:paraId="55217406">
            <w:pPr>
              <w:jc w:val="center"/>
              <w:rPr>
                <w:color w:val="auto"/>
                <w:sz w:val="24"/>
                <w:szCs w:val="24"/>
              </w:rPr>
            </w:pPr>
            <w:r>
              <w:rPr>
                <w:color w:val="auto"/>
                <w:sz w:val="24"/>
                <w:szCs w:val="24"/>
              </w:rPr>
              <w:t xml:space="preserve">Đã cập nhật theo ý kiến thẩm định  </w:t>
            </w:r>
          </w:p>
        </w:tc>
        <w:tc>
          <w:tcPr>
            <w:tcW w:w="2410" w:type="dxa"/>
          </w:tcPr>
          <w:p w14:paraId="4CB62617">
            <w:pPr>
              <w:ind w:firstLine="284"/>
              <w:jc w:val="both"/>
              <w:rPr>
                <w:color w:val="auto"/>
                <w:sz w:val="24"/>
                <w:szCs w:val="24"/>
              </w:rPr>
            </w:pPr>
            <w:r>
              <w:rPr>
                <w:color w:val="auto"/>
                <w:sz w:val="24"/>
                <w:szCs w:val="24"/>
              </w:rPr>
              <w:t>Cần làm rõ, hoàn thiện thêm các nội dung, quy định cần xử lý của văn bản.</w:t>
            </w:r>
          </w:p>
        </w:tc>
      </w:tr>
      <w:tr w14:paraId="233F68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76" w:hRule="atLeast"/>
          <w:jc w:val="center"/>
        </w:trPr>
        <w:tc>
          <w:tcPr>
            <w:tcW w:w="704" w:type="dxa"/>
            <w:vMerge w:val="continue"/>
          </w:tcPr>
          <w:p w14:paraId="21238FC1">
            <w:pPr>
              <w:widowControl w:val="0"/>
              <w:spacing w:line="276" w:lineRule="auto"/>
              <w:rPr>
                <w:color w:val="auto"/>
                <w:sz w:val="24"/>
                <w:szCs w:val="24"/>
              </w:rPr>
            </w:pPr>
          </w:p>
        </w:tc>
        <w:tc>
          <w:tcPr>
            <w:tcW w:w="1843" w:type="dxa"/>
            <w:vMerge w:val="continue"/>
          </w:tcPr>
          <w:p w14:paraId="3BC5A5EE">
            <w:pPr>
              <w:widowControl w:val="0"/>
              <w:spacing w:line="276" w:lineRule="auto"/>
              <w:rPr>
                <w:color w:val="auto"/>
                <w:sz w:val="24"/>
                <w:szCs w:val="24"/>
              </w:rPr>
            </w:pPr>
          </w:p>
        </w:tc>
        <w:tc>
          <w:tcPr>
            <w:tcW w:w="1417" w:type="dxa"/>
          </w:tcPr>
          <w:p w14:paraId="3F91165B">
            <w:pPr>
              <w:jc w:val="both"/>
              <w:rPr>
                <w:color w:val="auto"/>
                <w:sz w:val="24"/>
                <w:szCs w:val="24"/>
              </w:rPr>
            </w:pPr>
            <w:r>
              <w:rPr>
                <w:color w:val="auto"/>
                <w:sz w:val="24"/>
                <w:szCs w:val="24"/>
              </w:rPr>
              <w:t>Cải cách TTHC</w:t>
            </w:r>
          </w:p>
        </w:tc>
        <w:tc>
          <w:tcPr>
            <w:tcW w:w="4051" w:type="dxa"/>
          </w:tcPr>
          <w:p w14:paraId="095DE8E7">
            <w:pPr>
              <w:jc w:val="both"/>
              <w:rPr>
                <w:color w:val="auto"/>
                <w:sz w:val="24"/>
                <w:szCs w:val="24"/>
              </w:rPr>
            </w:pPr>
            <w:r>
              <w:rPr>
                <w:color w:val="auto"/>
                <w:sz w:val="24"/>
                <w:szCs w:val="24"/>
              </w:rPr>
              <w:t>Điều kiện về kinh nghiệm làm việc và số lượng chuyên gia được cắt giảm theo quy định tại Mục VIII phần Đ, Phụ lục II Nghị quyết số 20/2026/NQ-CP</w:t>
            </w:r>
          </w:p>
          <w:p w14:paraId="2F2FEBB1">
            <w:pPr>
              <w:pStyle w:val="15"/>
              <w:spacing w:before="0" w:beforeAutospacing="0" w:after="0" w:afterAutospacing="0"/>
              <w:jc w:val="both"/>
              <w:rPr>
                <w:color w:val="auto"/>
                <w:lang w:val="en"/>
              </w:rPr>
            </w:pPr>
            <w:r>
              <w:rPr>
                <w:color w:val="auto"/>
                <w:lang w:val="en"/>
              </w:rPr>
              <w:t>Xây dựng và trình Chính phủ ban hành 01 Nghị định sửa nhiều Nghị định trong đó sửa đổi, bổ sung khoản 3 Điều 59 của Nghị định số 101/2026/NĐ-CP</w:t>
            </w:r>
          </w:p>
        </w:tc>
        <w:tc>
          <w:tcPr>
            <w:tcW w:w="1394" w:type="dxa"/>
          </w:tcPr>
          <w:p w14:paraId="14CAE3EE">
            <w:pPr>
              <w:jc w:val="both"/>
              <w:rPr>
                <w:color w:val="auto"/>
                <w:sz w:val="24"/>
                <w:szCs w:val="24"/>
              </w:rPr>
            </w:pPr>
          </w:p>
        </w:tc>
        <w:tc>
          <w:tcPr>
            <w:tcW w:w="1275" w:type="dxa"/>
          </w:tcPr>
          <w:p w14:paraId="34E6B9FD">
            <w:pPr>
              <w:rPr>
                <w:color w:val="auto"/>
                <w:sz w:val="24"/>
                <w:szCs w:val="24"/>
              </w:rPr>
            </w:pPr>
            <w:r>
              <w:rPr>
                <w:rFonts w:hint="default"/>
                <w:color w:val="auto"/>
                <w:sz w:val="24"/>
                <w:szCs w:val="24"/>
                <w:lang w:val="en-US"/>
              </w:rPr>
              <w:t>Tháng 12/</w:t>
            </w:r>
            <w:r>
              <w:rPr>
                <w:color w:val="auto"/>
                <w:sz w:val="24"/>
                <w:szCs w:val="24"/>
              </w:rPr>
              <w:t>2027</w:t>
            </w:r>
          </w:p>
        </w:tc>
        <w:tc>
          <w:tcPr>
            <w:tcW w:w="1245" w:type="dxa"/>
          </w:tcPr>
          <w:p w14:paraId="479C8253">
            <w:pPr>
              <w:rPr>
                <w:color w:val="auto"/>
                <w:sz w:val="24"/>
                <w:szCs w:val="24"/>
              </w:rPr>
            </w:pPr>
            <w:r>
              <w:rPr>
                <w:color w:val="auto"/>
                <w:sz w:val="24"/>
                <w:szCs w:val="24"/>
              </w:rPr>
              <w:t>Tiêu chí 4</w:t>
            </w:r>
          </w:p>
        </w:tc>
        <w:tc>
          <w:tcPr>
            <w:tcW w:w="1308" w:type="dxa"/>
            <w:vMerge w:val="continue"/>
          </w:tcPr>
          <w:p w14:paraId="50950848">
            <w:pPr>
              <w:widowControl w:val="0"/>
              <w:spacing w:line="276" w:lineRule="auto"/>
              <w:rPr>
                <w:color w:val="auto"/>
                <w:sz w:val="24"/>
                <w:szCs w:val="24"/>
              </w:rPr>
            </w:pPr>
          </w:p>
        </w:tc>
        <w:tc>
          <w:tcPr>
            <w:tcW w:w="2410" w:type="dxa"/>
          </w:tcPr>
          <w:p w14:paraId="6EBBA715">
            <w:pPr>
              <w:widowControl w:val="0"/>
              <w:spacing w:line="276" w:lineRule="auto"/>
              <w:ind w:firstLine="284"/>
              <w:jc w:val="both"/>
              <w:rPr>
                <w:color w:val="auto"/>
                <w:sz w:val="24"/>
                <w:szCs w:val="24"/>
              </w:rPr>
            </w:pPr>
            <w:r>
              <w:rPr>
                <w:color w:val="auto"/>
                <w:sz w:val="24"/>
                <w:szCs w:val="24"/>
              </w:rPr>
              <w:t>Cần làm rõ, hoàn thiện thêm các nội dung, quy định cần xử lý của văn bản.</w:t>
            </w:r>
          </w:p>
        </w:tc>
      </w:tr>
      <w:tr w14:paraId="68438A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65" w:hRule="atLeast"/>
          <w:jc w:val="center"/>
        </w:trPr>
        <w:tc>
          <w:tcPr>
            <w:tcW w:w="704" w:type="dxa"/>
          </w:tcPr>
          <w:p w14:paraId="546FD2B4">
            <w:pPr>
              <w:numPr>
                <w:ilvl w:val="0"/>
                <w:numId w:val="7"/>
              </w:numPr>
              <w:tabs>
                <w:tab w:val="left" w:pos="425"/>
              </w:tabs>
              <w:jc w:val="center"/>
              <w:rPr>
                <w:color w:val="auto"/>
                <w:sz w:val="24"/>
                <w:szCs w:val="24"/>
              </w:rPr>
            </w:pPr>
          </w:p>
        </w:tc>
        <w:tc>
          <w:tcPr>
            <w:tcW w:w="1843" w:type="dxa"/>
          </w:tcPr>
          <w:p w14:paraId="1C2FE7BB">
            <w:pPr>
              <w:jc w:val="both"/>
              <w:rPr>
                <w:color w:val="auto"/>
                <w:sz w:val="24"/>
                <w:szCs w:val="24"/>
              </w:rPr>
            </w:pPr>
            <w:r>
              <w:rPr>
                <w:color w:val="auto"/>
                <w:sz w:val="24"/>
                <w:szCs w:val="24"/>
              </w:rPr>
              <w:t xml:space="preserve">Quyết định số 30/2018/QĐ-TTg ngày 31/7/2018 quy định trình tự, thủ tục xác nhận hàng hóa sử dụng trực tiếp cho phát triển hoạt động ươm tạo công nghệ, ươm tạo doanh nghiệp khoa học và công nghệ, đổi mới công nghệ; phương tiện vận tải chuyên dùng trong dây chuyền công nghệ sử dụng trực tiếp cho hoạt động sản xuất của dự án đầu tư. </w:t>
            </w:r>
          </w:p>
        </w:tc>
        <w:tc>
          <w:tcPr>
            <w:tcW w:w="1417" w:type="dxa"/>
          </w:tcPr>
          <w:p w14:paraId="3815814E">
            <w:pPr>
              <w:jc w:val="both"/>
              <w:rPr>
                <w:color w:val="auto"/>
                <w:sz w:val="24"/>
                <w:szCs w:val="24"/>
              </w:rPr>
            </w:pPr>
            <w:r>
              <w:rPr>
                <w:color w:val="auto"/>
                <w:sz w:val="24"/>
                <w:szCs w:val="24"/>
              </w:rPr>
              <w:t>Cải cách TTHC</w:t>
            </w:r>
          </w:p>
        </w:tc>
        <w:tc>
          <w:tcPr>
            <w:tcW w:w="4051" w:type="dxa"/>
          </w:tcPr>
          <w:p w14:paraId="406A3353">
            <w:pPr>
              <w:jc w:val="both"/>
              <w:rPr>
                <w:color w:val="auto"/>
                <w:sz w:val="24"/>
                <w:szCs w:val="24"/>
              </w:rPr>
            </w:pPr>
            <w:r>
              <w:rPr>
                <w:color w:val="auto"/>
                <w:sz w:val="24"/>
                <w:szCs w:val="24"/>
              </w:rPr>
              <w:t>Nghị quyết số 20/2026/NQ-CP ngày 29/4/2026 của Chính phủ đã xác định phương án cắt giảm, đơn giản hóa thủ tục hành chính thuộc phạm vi quản lý nhà nước của Bộ Khoa học và Công nghệ. Tại Mục Đ.III Phụ lục II, Chính phủ quy định không thực hiện thủ tục xác nhận hàng hóa sử dụng trực tiếp cho đổi mới công nghệ quy định tại Điều 2 và Điều 4 Quyết định số 30/2018/QĐ-TTg.</w:t>
            </w:r>
          </w:p>
          <w:p w14:paraId="2ED7030D">
            <w:pPr>
              <w:jc w:val="both"/>
              <w:rPr>
                <w:color w:val="auto"/>
                <w:sz w:val="24"/>
                <w:szCs w:val="24"/>
              </w:rPr>
            </w:pPr>
            <w:r>
              <w:rPr>
                <w:color w:val="auto"/>
                <w:sz w:val="24"/>
                <w:szCs w:val="24"/>
              </w:rPr>
              <w:t>Tại Mục II.1 Phụ lục III ban hành kèm theo Nghị quyết số 20/2026/NQ-CP, nội dung đề xuất sửa đổi là bãi bỏ Điều 2, Điều 3 và Điều 4 Quyết định số 30/2018/QĐ-TTg; cơ quan thực hiện là Bộ Khoa học và Công nghệ.</w:t>
            </w:r>
          </w:p>
          <w:p w14:paraId="0A563BF1">
            <w:pPr>
              <w:jc w:val="both"/>
              <w:rPr>
                <w:color w:val="auto"/>
                <w:sz w:val="24"/>
                <w:szCs w:val="24"/>
              </w:rPr>
            </w:pPr>
            <w:r>
              <w:rPr>
                <w:color w:val="auto"/>
                <w:sz w:val="24"/>
                <w:szCs w:val="24"/>
              </w:rPr>
              <w:t>Do đó, việc Quyết định số 30/2018/QĐ-TTg tiếp tục duy trì các quy định về hồ sơ, trình tự, thủ tục xác nhận đối với hàng hóa sử dụng trực tiếp cho đổi mới công nghệ là không còn phù hợp với phương án cắt giảm thủ tục hành chính đã được Chính phủ thông qua; có thể gây cách hiểu khác nhau trong tổ chức thực hiện, làm phát sinh chi phí tuân thủ không cần thiết và ảnh hưởng đến tính thống nhất, đồng bộ của hệ thống văn bản quy phạm pháp luật. Vì vậy, cần ban hành Quyết định của Thủ tướng Chính phủ xử lý những điều, khoản nêu trên để bảo đảm đồng bộ theo quy định</w:t>
            </w:r>
          </w:p>
        </w:tc>
        <w:tc>
          <w:tcPr>
            <w:tcW w:w="1394" w:type="dxa"/>
          </w:tcPr>
          <w:p w14:paraId="3CF05CEA">
            <w:pPr>
              <w:jc w:val="both"/>
              <w:rPr>
                <w:rFonts w:hint="default"/>
                <w:color w:val="auto"/>
                <w:sz w:val="24"/>
                <w:szCs w:val="24"/>
                <w:lang w:val="en-US"/>
              </w:rPr>
            </w:pPr>
            <w:r>
              <w:rPr>
                <w:rFonts w:hint="default"/>
                <w:color w:val="auto"/>
                <w:sz w:val="24"/>
                <w:szCs w:val="24"/>
                <w:lang w:val="en-US"/>
              </w:rPr>
              <w:t>Sửa đổi, bổ sung</w:t>
            </w:r>
          </w:p>
        </w:tc>
        <w:tc>
          <w:tcPr>
            <w:tcW w:w="1275" w:type="dxa"/>
          </w:tcPr>
          <w:p w14:paraId="0820104A">
            <w:pPr>
              <w:jc w:val="center"/>
              <w:rPr>
                <w:color w:val="auto"/>
                <w:sz w:val="24"/>
                <w:szCs w:val="24"/>
              </w:rPr>
            </w:pPr>
            <w:r>
              <w:rPr>
                <w:rFonts w:hint="default"/>
                <w:color w:val="auto"/>
                <w:sz w:val="24"/>
                <w:szCs w:val="24"/>
                <w:lang w:val="en-US"/>
              </w:rPr>
              <w:t>Tháng 12/</w:t>
            </w:r>
            <w:r>
              <w:rPr>
                <w:color w:val="auto"/>
                <w:sz w:val="24"/>
                <w:szCs w:val="24"/>
              </w:rPr>
              <w:t>2027</w:t>
            </w:r>
          </w:p>
        </w:tc>
        <w:tc>
          <w:tcPr>
            <w:tcW w:w="1245" w:type="dxa"/>
          </w:tcPr>
          <w:p w14:paraId="6672D414">
            <w:pPr>
              <w:jc w:val="center"/>
              <w:rPr>
                <w:color w:val="auto"/>
                <w:sz w:val="24"/>
                <w:szCs w:val="24"/>
              </w:rPr>
            </w:pPr>
            <w:r>
              <w:rPr>
                <w:color w:val="auto"/>
                <w:sz w:val="24"/>
                <w:szCs w:val="24"/>
              </w:rPr>
              <w:t>Tiêu chí 4</w:t>
            </w:r>
          </w:p>
        </w:tc>
        <w:tc>
          <w:tcPr>
            <w:tcW w:w="1308" w:type="dxa"/>
          </w:tcPr>
          <w:p w14:paraId="1A8073E9">
            <w:pPr>
              <w:jc w:val="center"/>
              <w:rPr>
                <w:color w:val="auto"/>
                <w:sz w:val="24"/>
                <w:szCs w:val="24"/>
              </w:rPr>
            </w:pPr>
            <w:r>
              <w:rPr>
                <w:color w:val="auto"/>
                <w:sz w:val="24"/>
                <w:szCs w:val="24"/>
              </w:rPr>
              <w:t xml:space="preserve">Đã cập nhật theo ý kiến thẩm định  </w:t>
            </w:r>
          </w:p>
        </w:tc>
        <w:tc>
          <w:tcPr>
            <w:tcW w:w="2410" w:type="dxa"/>
          </w:tcPr>
          <w:p w14:paraId="432608C4">
            <w:pPr>
              <w:ind w:firstLine="284"/>
              <w:jc w:val="both"/>
              <w:rPr>
                <w:color w:val="auto"/>
                <w:sz w:val="24"/>
                <w:szCs w:val="24"/>
              </w:rPr>
            </w:pPr>
            <w:r>
              <w:rPr>
                <w:color w:val="auto"/>
                <w:sz w:val="24"/>
                <w:szCs w:val="24"/>
              </w:rPr>
              <w:t xml:space="preserve">Bổ sung hình thức xử lý văn bản </w:t>
            </w:r>
          </w:p>
        </w:tc>
      </w:tr>
      <w:tr w14:paraId="04BE00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65" w:hRule="atLeast"/>
          <w:jc w:val="center"/>
        </w:trPr>
        <w:tc>
          <w:tcPr>
            <w:tcW w:w="704" w:type="dxa"/>
          </w:tcPr>
          <w:p w14:paraId="14B0A64E">
            <w:pPr>
              <w:numPr>
                <w:ilvl w:val="0"/>
                <w:numId w:val="7"/>
              </w:numPr>
              <w:tabs>
                <w:tab w:val="left" w:pos="425"/>
              </w:tabs>
              <w:jc w:val="center"/>
              <w:rPr>
                <w:color w:val="auto"/>
                <w:sz w:val="24"/>
                <w:szCs w:val="24"/>
              </w:rPr>
            </w:pPr>
          </w:p>
        </w:tc>
        <w:tc>
          <w:tcPr>
            <w:tcW w:w="1843" w:type="dxa"/>
          </w:tcPr>
          <w:p w14:paraId="21A2FA3F">
            <w:pPr>
              <w:jc w:val="both"/>
              <w:rPr>
                <w:color w:val="auto"/>
                <w:sz w:val="24"/>
                <w:szCs w:val="24"/>
              </w:rPr>
            </w:pPr>
            <w:r>
              <w:rPr>
                <w:color w:val="auto"/>
                <w:sz w:val="24"/>
                <w:szCs w:val="24"/>
              </w:rPr>
              <w:t>Quyết định số 18/2019/QĐ-TTg ngày 19/4/2019 của Thủ tướng Chính phủ quy định</w:t>
            </w:r>
          </w:p>
          <w:p w14:paraId="5CF8AE45">
            <w:pPr>
              <w:jc w:val="both"/>
              <w:rPr>
                <w:color w:val="auto"/>
                <w:sz w:val="24"/>
                <w:szCs w:val="24"/>
              </w:rPr>
            </w:pPr>
            <w:r>
              <w:rPr>
                <w:color w:val="auto"/>
                <w:sz w:val="24"/>
                <w:szCs w:val="24"/>
              </w:rPr>
              <w:t>việc nhập khẩu máy móc, thiết bị, dây chuyền công nghệ đã qua sử dụng</w:t>
            </w:r>
          </w:p>
        </w:tc>
        <w:tc>
          <w:tcPr>
            <w:tcW w:w="1417" w:type="dxa"/>
          </w:tcPr>
          <w:p w14:paraId="4FD0BA1F">
            <w:pPr>
              <w:jc w:val="both"/>
              <w:rPr>
                <w:color w:val="auto"/>
                <w:sz w:val="24"/>
                <w:szCs w:val="24"/>
              </w:rPr>
            </w:pPr>
            <w:r>
              <w:rPr>
                <w:color w:val="auto"/>
                <w:sz w:val="24"/>
                <w:szCs w:val="24"/>
              </w:rPr>
              <w:t>Nghị định số</w:t>
            </w:r>
          </w:p>
          <w:p w14:paraId="2FC068ED">
            <w:pPr>
              <w:jc w:val="both"/>
              <w:rPr>
                <w:color w:val="auto"/>
                <w:sz w:val="24"/>
                <w:szCs w:val="24"/>
              </w:rPr>
            </w:pPr>
            <w:r>
              <w:rPr>
                <w:color w:val="auto"/>
                <w:sz w:val="24"/>
                <w:szCs w:val="24"/>
              </w:rPr>
              <w:t>69/2018/QĐ-TTg</w:t>
            </w:r>
          </w:p>
          <w:p w14:paraId="1869D1FC">
            <w:pPr>
              <w:jc w:val="both"/>
              <w:rPr>
                <w:color w:val="auto"/>
                <w:sz w:val="24"/>
                <w:szCs w:val="24"/>
              </w:rPr>
            </w:pPr>
            <w:r>
              <w:rPr>
                <w:color w:val="auto"/>
                <w:sz w:val="24"/>
                <w:szCs w:val="24"/>
              </w:rPr>
              <w:t>ngày 15/5/2018 của Chính phủ quy định chi tiết một số Điều của</w:t>
            </w:r>
            <w:bookmarkStart w:id="6" w:name="tvpllink_pugiufdkvo_1"/>
            <w:r>
              <w:rPr>
                <w:color w:val="auto"/>
                <w:sz w:val="24"/>
                <w:szCs w:val="24"/>
              </w:rPr>
              <w:t xml:space="preserve"> Luật Quản lý ngoại thương</w:t>
            </w:r>
            <w:bookmarkEnd w:id="6"/>
          </w:p>
          <w:p w14:paraId="14F70A5B">
            <w:pPr>
              <w:jc w:val="both"/>
              <w:rPr>
                <w:color w:val="auto"/>
                <w:sz w:val="24"/>
                <w:szCs w:val="24"/>
              </w:rPr>
            </w:pPr>
          </w:p>
        </w:tc>
        <w:tc>
          <w:tcPr>
            <w:tcW w:w="4051" w:type="dxa"/>
          </w:tcPr>
          <w:p w14:paraId="07CC180C">
            <w:pPr>
              <w:jc w:val="both"/>
              <w:rPr>
                <w:color w:val="auto"/>
                <w:sz w:val="24"/>
                <w:szCs w:val="24"/>
              </w:rPr>
            </w:pPr>
            <w:r>
              <w:rPr>
                <w:color w:val="auto"/>
                <w:sz w:val="24"/>
                <w:szCs w:val="24"/>
              </w:rPr>
              <w:t>Hiện nay dự thảo Nghị định thay thế Nghị định số 69/2018/NĐ-CP đang được xây dựng (đã lấy ý kiến Thành viên Chính phủ), theo đó quy định tại khoản 5 Điều 8 Nghị định số 69/2019/NĐ-CP “Việc nhập khẩu máy móc, thiết bị, dây chuyền công nghệ đã qua sử dụng thực hiện theo quy định của Thủ tướng Chính phủ” được sửa thành: “2. Việc nhập khẩu máy móc, thiết bị, dây chuyền công nghệ đã qua sử dụng thực hiện theo quy định của Bộ Khoa học và Công nghệ”.</w:t>
            </w:r>
          </w:p>
        </w:tc>
        <w:tc>
          <w:tcPr>
            <w:tcW w:w="1394" w:type="dxa"/>
          </w:tcPr>
          <w:p w14:paraId="4C15FA34">
            <w:pPr>
              <w:jc w:val="center"/>
              <w:rPr>
                <w:color w:val="auto"/>
                <w:sz w:val="24"/>
                <w:szCs w:val="24"/>
              </w:rPr>
            </w:pPr>
            <w:r>
              <w:rPr>
                <w:color w:val="auto"/>
                <w:sz w:val="24"/>
                <w:szCs w:val="24"/>
              </w:rPr>
              <w:t>Thay thế</w:t>
            </w:r>
          </w:p>
        </w:tc>
        <w:tc>
          <w:tcPr>
            <w:tcW w:w="1275" w:type="dxa"/>
          </w:tcPr>
          <w:p w14:paraId="05F829E4">
            <w:pPr>
              <w:jc w:val="center"/>
              <w:rPr>
                <w:color w:val="auto"/>
                <w:sz w:val="24"/>
                <w:szCs w:val="24"/>
              </w:rPr>
            </w:pPr>
            <w:r>
              <w:rPr>
                <w:color w:val="auto"/>
                <w:sz w:val="24"/>
                <w:szCs w:val="24"/>
              </w:rPr>
              <w:t>Theo tiến độ Nghị định thay thế Nghị định số 69/2018/NĐ-CP</w:t>
            </w:r>
          </w:p>
        </w:tc>
        <w:tc>
          <w:tcPr>
            <w:tcW w:w="1245" w:type="dxa"/>
          </w:tcPr>
          <w:p w14:paraId="019E98BC">
            <w:pPr>
              <w:jc w:val="center"/>
              <w:rPr>
                <w:color w:val="auto"/>
                <w:sz w:val="24"/>
                <w:szCs w:val="24"/>
              </w:rPr>
            </w:pPr>
            <w:r>
              <w:rPr>
                <w:color w:val="auto"/>
                <w:sz w:val="24"/>
                <w:szCs w:val="24"/>
              </w:rPr>
              <w:t>Tiêu chí 2</w:t>
            </w:r>
          </w:p>
        </w:tc>
        <w:tc>
          <w:tcPr>
            <w:tcW w:w="1308" w:type="dxa"/>
          </w:tcPr>
          <w:p w14:paraId="56D46D57">
            <w:pPr>
              <w:jc w:val="center"/>
              <w:rPr>
                <w:color w:val="auto"/>
                <w:sz w:val="24"/>
                <w:szCs w:val="24"/>
              </w:rPr>
            </w:pPr>
            <w:r>
              <w:rPr>
                <w:color w:val="auto"/>
                <w:sz w:val="24"/>
                <w:szCs w:val="24"/>
              </w:rPr>
              <w:t xml:space="preserve">Đã cập nhật theo ý kiến thẩm định  </w:t>
            </w:r>
          </w:p>
        </w:tc>
        <w:tc>
          <w:tcPr>
            <w:tcW w:w="2410" w:type="dxa"/>
          </w:tcPr>
          <w:p w14:paraId="1D9D2BBF">
            <w:pPr>
              <w:ind w:firstLine="284"/>
              <w:jc w:val="both"/>
              <w:rPr>
                <w:color w:val="auto"/>
                <w:sz w:val="24"/>
                <w:szCs w:val="24"/>
              </w:rPr>
            </w:pPr>
            <w:r>
              <w:rPr>
                <w:color w:val="auto"/>
                <w:sz w:val="24"/>
                <w:szCs w:val="24"/>
              </w:rPr>
              <w:t>- Nhất trí</w:t>
            </w:r>
          </w:p>
          <w:p w14:paraId="01C74B0C">
            <w:pPr>
              <w:ind w:firstLine="284"/>
              <w:jc w:val="both"/>
              <w:rPr>
                <w:color w:val="auto"/>
                <w:sz w:val="24"/>
                <w:szCs w:val="24"/>
              </w:rPr>
            </w:pPr>
            <w:r>
              <w:rPr>
                <w:color w:val="auto"/>
                <w:sz w:val="24"/>
                <w:szCs w:val="24"/>
              </w:rPr>
              <w:t>- Chỉnh lý tên văn bản là căn cứ rà soát cho đầy đủ, chính xác.</w:t>
            </w:r>
          </w:p>
          <w:p w14:paraId="181C4C96">
            <w:pPr>
              <w:ind w:firstLine="284"/>
              <w:jc w:val="both"/>
              <w:rPr>
                <w:color w:val="auto"/>
                <w:sz w:val="24"/>
                <w:szCs w:val="24"/>
              </w:rPr>
            </w:pPr>
          </w:p>
        </w:tc>
      </w:tr>
      <w:tr w14:paraId="06F549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65" w:hRule="atLeast"/>
          <w:jc w:val="center"/>
        </w:trPr>
        <w:tc>
          <w:tcPr>
            <w:tcW w:w="704" w:type="dxa"/>
          </w:tcPr>
          <w:p w14:paraId="349D1324">
            <w:pPr>
              <w:numPr>
                <w:ilvl w:val="0"/>
                <w:numId w:val="7"/>
              </w:numPr>
              <w:tabs>
                <w:tab w:val="left" w:pos="425"/>
              </w:tabs>
              <w:jc w:val="center"/>
              <w:rPr>
                <w:color w:val="auto"/>
                <w:sz w:val="24"/>
                <w:szCs w:val="24"/>
              </w:rPr>
            </w:pPr>
          </w:p>
        </w:tc>
        <w:tc>
          <w:tcPr>
            <w:tcW w:w="1843" w:type="dxa"/>
          </w:tcPr>
          <w:p w14:paraId="2E623587">
            <w:pPr>
              <w:jc w:val="both"/>
              <w:rPr>
                <w:color w:val="auto"/>
                <w:sz w:val="24"/>
                <w:szCs w:val="24"/>
              </w:rPr>
            </w:pPr>
            <w:r>
              <w:rPr>
                <w:color w:val="auto"/>
                <w:sz w:val="24"/>
                <w:szCs w:val="24"/>
              </w:rPr>
              <w:t>Quyết định số 12/2023/QĐ-TTg ngày 15/5/2023 về cấp Giấy chứng nhận chuyển giao công nghệ khuyến khích chuyển giao</w:t>
            </w:r>
          </w:p>
        </w:tc>
        <w:tc>
          <w:tcPr>
            <w:tcW w:w="1417" w:type="dxa"/>
          </w:tcPr>
          <w:p w14:paraId="46E034DA">
            <w:pPr>
              <w:jc w:val="both"/>
              <w:rPr>
                <w:color w:val="auto"/>
                <w:sz w:val="24"/>
                <w:szCs w:val="24"/>
              </w:rPr>
            </w:pPr>
            <w:r>
              <w:rPr>
                <w:color w:val="auto"/>
                <w:sz w:val="24"/>
                <w:szCs w:val="24"/>
              </w:rPr>
              <w:t>Cải cách TTHC</w:t>
            </w:r>
          </w:p>
        </w:tc>
        <w:tc>
          <w:tcPr>
            <w:tcW w:w="4051" w:type="dxa"/>
          </w:tcPr>
          <w:p w14:paraId="6C31AE30">
            <w:pPr>
              <w:jc w:val="both"/>
              <w:rPr>
                <w:color w:val="auto"/>
                <w:sz w:val="24"/>
                <w:szCs w:val="24"/>
              </w:rPr>
            </w:pPr>
            <w:r>
              <w:rPr>
                <w:color w:val="auto"/>
                <w:sz w:val="24"/>
                <w:szCs w:val="24"/>
              </w:rPr>
              <w:t>Thẩm quyền cấp Giấy chứng nhận chuyển giao công nghệ khuyến khích chuyển giao tại Điều 3 được giao hoàn toàn về Ủy ban nhân dân cấp tỉnh nơi dự án đầu tư được triển khai theo quy định tại Mục III, phần E, Phụ lục I của Nghị quyết số 20/2026/NQ-CP</w:t>
            </w:r>
          </w:p>
          <w:p w14:paraId="12E942CB">
            <w:pPr>
              <w:jc w:val="both"/>
              <w:rPr>
                <w:color w:val="auto"/>
                <w:sz w:val="24"/>
                <w:szCs w:val="24"/>
              </w:rPr>
            </w:pPr>
            <w:r>
              <w:rPr>
                <w:color w:val="auto"/>
                <w:sz w:val="24"/>
                <w:szCs w:val="24"/>
              </w:rPr>
              <w:t>Cần xây dựng Quyết định của Thủ tướng Chính phủ sửa đổi, bổ sung Quyết định số 12/2023/QĐ-TTg phân cấp thẩm quyền cấp Giấy chứng nhận chuyển giao công nghệ khuyến khích chuyển giao về Ủy ban nhân dân cấp tỉnh nơi dự án đầu tư được triển khai.</w:t>
            </w:r>
          </w:p>
        </w:tc>
        <w:tc>
          <w:tcPr>
            <w:tcW w:w="1394" w:type="dxa"/>
          </w:tcPr>
          <w:p w14:paraId="18A0C21C">
            <w:pPr>
              <w:jc w:val="both"/>
              <w:rPr>
                <w:color w:val="auto"/>
                <w:sz w:val="24"/>
                <w:szCs w:val="24"/>
              </w:rPr>
            </w:pPr>
            <w:r>
              <w:rPr>
                <w:color w:val="auto"/>
                <w:sz w:val="24"/>
                <w:szCs w:val="24"/>
              </w:rPr>
              <w:t>Sửa đổi, bổ sung</w:t>
            </w:r>
          </w:p>
        </w:tc>
        <w:tc>
          <w:tcPr>
            <w:tcW w:w="1275" w:type="dxa"/>
          </w:tcPr>
          <w:p w14:paraId="14DBD577">
            <w:pPr>
              <w:jc w:val="center"/>
              <w:rPr>
                <w:color w:val="auto"/>
                <w:sz w:val="24"/>
                <w:szCs w:val="24"/>
              </w:rPr>
            </w:pPr>
            <w:r>
              <w:rPr>
                <w:color w:val="auto"/>
                <w:sz w:val="24"/>
                <w:szCs w:val="24"/>
              </w:rPr>
              <w:t>Tháng 3/2027</w:t>
            </w:r>
          </w:p>
        </w:tc>
        <w:tc>
          <w:tcPr>
            <w:tcW w:w="1245" w:type="dxa"/>
          </w:tcPr>
          <w:p w14:paraId="4B3A9EF9">
            <w:pPr>
              <w:jc w:val="center"/>
              <w:rPr>
                <w:color w:val="auto"/>
                <w:sz w:val="24"/>
                <w:szCs w:val="24"/>
              </w:rPr>
            </w:pPr>
            <w:r>
              <w:rPr>
                <w:color w:val="auto"/>
                <w:sz w:val="24"/>
                <w:szCs w:val="24"/>
              </w:rPr>
              <w:t>Tiêu chí 4</w:t>
            </w:r>
          </w:p>
        </w:tc>
        <w:tc>
          <w:tcPr>
            <w:tcW w:w="1308" w:type="dxa"/>
          </w:tcPr>
          <w:p w14:paraId="1A25BE60">
            <w:pPr>
              <w:jc w:val="center"/>
              <w:rPr>
                <w:color w:val="auto"/>
                <w:sz w:val="24"/>
                <w:szCs w:val="24"/>
              </w:rPr>
            </w:pPr>
            <w:r>
              <w:rPr>
                <w:color w:val="auto"/>
                <w:sz w:val="24"/>
                <w:szCs w:val="24"/>
              </w:rPr>
              <w:t xml:space="preserve">Đã cập nhật theo ý kiến thẩm định  </w:t>
            </w:r>
          </w:p>
        </w:tc>
        <w:tc>
          <w:tcPr>
            <w:tcW w:w="2410" w:type="dxa"/>
          </w:tcPr>
          <w:p w14:paraId="60A0C6E6">
            <w:pPr>
              <w:jc w:val="both"/>
              <w:rPr>
                <w:color w:val="auto"/>
                <w:sz w:val="24"/>
                <w:szCs w:val="24"/>
              </w:rPr>
            </w:pPr>
            <w:r>
              <w:rPr>
                <w:color w:val="auto"/>
                <w:sz w:val="24"/>
                <w:szCs w:val="24"/>
              </w:rPr>
              <w:t>- Cần làm rõ, hoàn thiện thêm các nội dung, quy định cần xử lý của văn bản.</w:t>
            </w:r>
          </w:p>
          <w:p w14:paraId="14C9078D">
            <w:pPr>
              <w:jc w:val="both"/>
              <w:rPr>
                <w:color w:val="auto"/>
                <w:sz w:val="24"/>
                <w:szCs w:val="24"/>
              </w:rPr>
            </w:pPr>
            <w:r>
              <w:rPr>
                <w:color w:val="auto"/>
                <w:sz w:val="24"/>
                <w:szCs w:val="24"/>
              </w:rPr>
              <w:t>- Chỉnh lý tên văn bản được rà soát, văn bản là căn cứ rà soát cho đầy đủ.</w:t>
            </w:r>
          </w:p>
          <w:p w14:paraId="5BDD76DC">
            <w:pPr>
              <w:ind w:firstLine="284"/>
              <w:jc w:val="both"/>
              <w:rPr>
                <w:color w:val="auto"/>
                <w:sz w:val="24"/>
                <w:szCs w:val="24"/>
              </w:rPr>
            </w:pPr>
          </w:p>
        </w:tc>
      </w:tr>
      <w:tr w14:paraId="194024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65" w:hRule="atLeast"/>
          <w:jc w:val="center"/>
        </w:trPr>
        <w:tc>
          <w:tcPr>
            <w:tcW w:w="704" w:type="dxa"/>
          </w:tcPr>
          <w:p w14:paraId="4CA73EAA">
            <w:pPr>
              <w:numPr>
                <w:ilvl w:val="0"/>
                <w:numId w:val="7"/>
              </w:numPr>
              <w:tabs>
                <w:tab w:val="left" w:pos="425"/>
              </w:tabs>
              <w:jc w:val="center"/>
              <w:rPr>
                <w:color w:val="auto"/>
                <w:sz w:val="24"/>
                <w:szCs w:val="24"/>
              </w:rPr>
            </w:pPr>
          </w:p>
        </w:tc>
        <w:tc>
          <w:tcPr>
            <w:tcW w:w="1843" w:type="dxa"/>
          </w:tcPr>
          <w:p w14:paraId="3A6FBF75">
            <w:pPr>
              <w:jc w:val="both"/>
              <w:rPr>
                <w:color w:val="auto"/>
                <w:sz w:val="24"/>
                <w:szCs w:val="24"/>
              </w:rPr>
            </w:pPr>
            <w:r>
              <w:rPr>
                <w:color w:val="auto"/>
                <w:sz w:val="24"/>
                <w:szCs w:val="24"/>
              </w:rPr>
              <w:t>Quyết định số 29/2023/QĐ-TTg ngày 19/12/2026 quy định hồ sơ, trình tự, thủ tục xác định dự án đầu tư sử dụng công nghệ lạc hậu, tiềm ẩn nguy cơ gây ô nhiễm môi trường, thâm dụng tài nguyên</w:t>
            </w:r>
          </w:p>
        </w:tc>
        <w:tc>
          <w:tcPr>
            <w:tcW w:w="1417" w:type="dxa"/>
          </w:tcPr>
          <w:p w14:paraId="0FCC6A3F">
            <w:pPr>
              <w:jc w:val="both"/>
              <w:rPr>
                <w:color w:val="auto"/>
                <w:sz w:val="24"/>
                <w:szCs w:val="24"/>
              </w:rPr>
            </w:pPr>
            <w:r>
              <w:rPr>
                <w:color w:val="auto"/>
                <w:sz w:val="24"/>
                <w:szCs w:val="24"/>
              </w:rPr>
              <w:t>Nghị định số 96/2026/NĐ-CP ngày 31/3/2026 quy định chi tiết và hướng dẫn thi hành một số điều của Luật Đầu tư</w:t>
            </w:r>
          </w:p>
        </w:tc>
        <w:tc>
          <w:tcPr>
            <w:tcW w:w="4051" w:type="dxa"/>
          </w:tcPr>
          <w:p w14:paraId="646B8DF0">
            <w:pPr>
              <w:jc w:val="both"/>
              <w:rPr>
                <w:color w:val="auto"/>
                <w:sz w:val="24"/>
                <w:szCs w:val="24"/>
              </w:rPr>
            </w:pPr>
            <w:r>
              <w:rPr>
                <w:color w:val="auto"/>
                <w:sz w:val="24"/>
                <w:szCs w:val="24"/>
              </w:rPr>
              <w:t>Các tiêu chí tại Mẫu số 02 được xây dựng căn cứ quy định tại khoản 10 Điều 27 Nghị định số 31/2021/NĐ-CP. Nghị định số 96/2026/NĐ-CP ngày 31/3/2026 của Chính phủ đã thay thế nghị định số 31/2021/NĐ-CP và các tiêu chí quy định tại khoản 10 Điều 27 Nghị định số 31/2021/NĐ-CP đã được thay thế bởi các tiêu chí quy định tại khoản 15 Điều 28 Nghị định số 96/2026/NĐ-CP</w:t>
            </w:r>
          </w:p>
          <w:p w14:paraId="5C84F7D7">
            <w:pPr>
              <w:jc w:val="both"/>
              <w:rPr>
                <w:color w:val="auto"/>
                <w:sz w:val="24"/>
                <w:szCs w:val="24"/>
              </w:rPr>
            </w:pPr>
            <w:r>
              <w:rPr>
                <w:color w:val="auto"/>
                <w:sz w:val="24"/>
                <w:szCs w:val="24"/>
              </w:rPr>
              <w:t>Vì vậy, cần xây dựng Quyết định của Thủ tướng Chính phủ sửa đổi, bổ sung các tiêu chí quy định tại Mẫu số 02, Mẫu số 03 Phụ lục Quyết định số 29/2023/QĐ-TTg để phù hợp với các quy định hiện hành.</w:t>
            </w:r>
          </w:p>
        </w:tc>
        <w:tc>
          <w:tcPr>
            <w:tcW w:w="1394" w:type="dxa"/>
          </w:tcPr>
          <w:p w14:paraId="2DCD18F9">
            <w:pPr>
              <w:jc w:val="both"/>
              <w:rPr>
                <w:color w:val="auto"/>
                <w:sz w:val="24"/>
                <w:szCs w:val="24"/>
              </w:rPr>
            </w:pPr>
            <w:r>
              <w:rPr>
                <w:color w:val="auto"/>
                <w:sz w:val="24"/>
                <w:szCs w:val="24"/>
              </w:rPr>
              <w:t>Sửa đổi, bổ sung</w:t>
            </w:r>
          </w:p>
        </w:tc>
        <w:tc>
          <w:tcPr>
            <w:tcW w:w="1275" w:type="dxa"/>
          </w:tcPr>
          <w:p w14:paraId="40CBD492">
            <w:pPr>
              <w:jc w:val="center"/>
              <w:rPr>
                <w:color w:val="auto"/>
                <w:sz w:val="24"/>
                <w:szCs w:val="24"/>
              </w:rPr>
            </w:pPr>
            <w:r>
              <w:rPr>
                <w:color w:val="auto"/>
                <w:sz w:val="24"/>
                <w:szCs w:val="24"/>
              </w:rPr>
              <w:t>Tháng 3/2027</w:t>
            </w:r>
          </w:p>
        </w:tc>
        <w:tc>
          <w:tcPr>
            <w:tcW w:w="1245" w:type="dxa"/>
          </w:tcPr>
          <w:p w14:paraId="38CD4DED">
            <w:pPr>
              <w:jc w:val="center"/>
              <w:rPr>
                <w:color w:val="auto"/>
                <w:sz w:val="24"/>
                <w:szCs w:val="24"/>
              </w:rPr>
            </w:pPr>
            <w:r>
              <w:rPr>
                <w:color w:val="auto"/>
                <w:sz w:val="24"/>
                <w:szCs w:val="24"/>
              </w:rPr>
              <w:t>Tiêu chí 2</w:t>
            </w:r>
          </w:p>
        </w:tc>
        <w:tc>
          <w:tcPr>
            <w:tcW w:w="1308" w:type="dxa"/>
          </w:tcPr>
          <w:p w14:paraId="28764590">
            <w:pPr>
              <w:jc w:val="center"/>
              <w:rPr>
                <w:color w:val="auto"/>
                <w:sz w:val="24"/>
                <w:szCs w:val="24"/>
              </w:rPr>
            </w:pPr>
            <w:r>
              <w:rPr>
                <w:color w:val="auto"/>
                <w:sz w:val="24"/>
                <w:szCs w:val="24"/>
              </w:rPr>
              <w:t xml:space="preserve">Đã cập nhật theo ý kiến thẩm định  </w:t>
            </w:r>
          </w:p>
        </w:tc>
        <w:tc>
          <w:tcPr>
            <w:tcW w:w="2410" w:type="dxa"/>
          </w:tcPr>
          <w:p w14:paraId="1EFFDCE6">
            <w:pPr>
              <w:ind w:firstLine="284"/>
              <w:jc w:val="both"/>
              <w:rPr>
                <w:color w:val="auto"/>
                <w:sz w:val="24"/>
                <w:szCs w:val="24"/>
              </w:rPr>
            </w:pPr>
            <w:r>
              <w:rPr>
                <w:color w:val="auto"/>
                <w:sz w:val="24"/>
                <w:szCs w:val="24"/>
              </w:rPr>
              <w:t>- Cần làm rõ, hoàn thiện thêm các nội dung, quy định cần xử lý của văn bản.</w:t>
            </w:r>
          </w:p>
          <w:p w14:paraId="7FDC6C12">
            <w:pPr>
              <w:ind w:firstLine="284"/>
              <w:jc w:val="both"/>
              <w:rPr>
                <w:color w:val="auto"/>
                <w:sz w:val="24"/>
                <w:szCs w:val="24"/>
              </w:rPr>
            </w:pPr>
            <w:r>
              <w:rPr>
                <w:color w:val="auto"/>
                <w:sz w:val="24"/>
                <w:szCs w:val="24"/>
              </w:rPr>
              <w:t>- Chỉnh lý tên văn bản được rà soát, văn bản là căn cứ rà soát cho đầy đủ.</w:t>
            </w:r>
          </w:p>
          <w:p w14:paraId="5DB7795A">
            <w:pPr>
              <w:ind w:firstLine="284"/>
              <w:jc w:val="both"/>
              <w:rPr>
                <w:color w:val="auto"/>
                <w:sz w:val="24"/>
                <w:szCs w:val="24"/>
              </w:rPr>
            </w:pPr>
          </w:p>
        </w:tc>
      </w:tr>
      <w:tr w14:paraId="48D267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3237" w:type="dxa"/>
            <w:gridSpan w:val="8"/>
          </w:tcPr>
          <w:p w14:paraId="3A7DEEFB">
            <w:pPr>
              <w:pStyle w:val="3"/>
              <w:ind w:firstLine="284"/>
              <w:rPr>
                <w:color w:val="auto"/>
                <w:sz w:val="24"/>
                <w:szCs w:val="24"/>
              </w:rPr>
            </w:pPr>
            <w:r>
              <w:rPr>
                <w:color w:val="auto"/>
                <w:sz w:val="24"/>
                <w:szCs w:val="24"/>
              </w:rPr>
              <w:t>IX. LĨNH VỰC SỞ HỮU TRÍ TUỆ</w:t>
            </w:r>
          </w:p>
        </w:tc>
        <w:tc>
          <w:tcPr>
            <w:tcW w:w="2410" w:type="dxa"/>
          </w:tcPr>
          <w:p w14:paraId="4FA33E7E">
            <w:pPr>
              <w:pStyle w:val="3"/>
              <w:ind w:firstLine="284"/>
              <w:jc w:val="both"/>
              <w:rPr>
                <w:color w:val="auto"/>
                <w:sz w:val="24"/>
                <w:szCs w:val="24"/>
              </w:rPr>
            </w:pPr>
          </w:p>
        </w:tc>
      </w:tr>
      <w:tr w14:paraId="6EC177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40" w:hRule="atLeast"/>
          <w:jc w:val="center"/>
        </w:trPr>
        <w:tc>
          <w:tcPr>
            <w:tcW w:w="704" w:type="dxa"/>
            <w:vMerge w:val="restart"/>
          </w:tcPr>
          <w:p w14:paraId="052C18C1">
            <w:pPr>
              <w:numPr>
                <w:ilvl w:val="0"/>
                <w:numId w:val="8"/>
              </w:numPr>
              <w:tabs>
                <w:tab w:val="left" w:pos="425"/>
              </w:tabs>
              <w:jc w:val="center"/>
              <w:rPr>
                <w:color w:val="auto"/>
                <w:sz w:val="24"/>
                <w:szCs w:val="24"/>
              </w:rPr>
            </w:pPr>
          </w:p>
        </w:tc>
        <w:tc>
          <w:tcPr>
            <w:tcW w:w="1843" w:type="dxa"/>
            <w:vMerge w:val="restart"/>
          </w:tcPr>
          <w:p w14:paraId="3F3842BC">
            <w:pPr>
              <w:jc w:val="both"/>
              <w:rPr>
                <w:color w:val="auto"/>
                <w:sz w:val="24"/>
                <w:szCs w:val="24"/>
              </w:rPr>
            </w:pPr>
            <w:r>
              <w:rPr>
                <w:color w:val="auto"/>
                <w:sz w:val="24"/>
                <w:szCs w:val="24"/>
              </w:rPr>
              <w:t>Luật Sở hữu trí tuệ số 50/2005/QH11 được sửa đổi, bồ sung bởi Luật số 36/2009/QH12, Luật số 42/2019/QH14, Luật số 07/2022/QH15, Luật số 131/2025/QH15</w:t>
            </w:r>
          </w:p>
        </w:tc>
        <w:tc>
          <w:tcPr>
            <w:tcW w:w="1417" w:type="dxa"/>
          </w:tcPr>
          <w:p w14:paraId="7DB03640">
            <w:pPr>
              <w:jc w:val="both"/>
              <w:rPr>
                <w:rFonts w:hint="default"/>
                <w:color w:val="auto"/>
                <w:sz w:val="24"/>
                <w:szCs w:val="24"/>
                <w:lang w:val="en-US"/>
              </w:rPr>
            </w:pPr>
            <w:r>
              <w:rPr>
                <w:color w:val="auto"/>
                <w:sz w:val="24"/>
                <w:szCs w:val="24"/>
              </w:rPr>
              <w:t>Nghị quyết số 80-NQ/TW</w:t>
            </w:r>
            <w:r>
              <w:rPr>
                <w:rFonts w:hint="default"/>
                <w:color w:val="auto"/>
                <w:sz w:val="24"/>
                <w:szCs w:val="24"/>
                <w:lang w:val="en-US"/>
              </w:rPr>
              <w:t xml:space="preserve"> ngày 07/01/2026 về phát triển văn hoá Việt Nam</w:t>
            </w:r>
          </w:p>
        </w:tc>
        <w:tc>
          <w:tcPr>
            <w:tcW w:w="4051" w:type="dxa"/>
          </w:tcPr>
          <w:p w14:paraId="3C53B409">
            <w:pPr>
              <w:jc w:val="both"/>
              <w:rPr>
                <w:color w:val="auto"/>
                <w:sz w:val="24"/>
                <w:szCs w:val="24"/>
              </w:rPr>
            </w:pPr>
            <w:r>
              <w:rPr>
                <w:color w:val="auto"/>
                <w:sz w:val="24"/>
                <w:szCs w:val="24"/>
              </w:rPr>
              <w:t>- Luật Sở hữu trí tuệ hiện hành đã có quy định về bảo hộ quyền tác giả, quyền liên quan trong môi trường số, nhưng chưa có cơ chế, chính sách đặc thù và hiệu quả để hỗ trợ doanh nghiệp công nghiệp văn hóa.</w:t>
            </w:r>
          </w:p>
          <w:p w14:paraId="29BF8912">
            <w:pPr>
              <w:jc w:val="both"/>
              <w:rPr>
                <w:color w:val="auto"/>
                <w:sz w:val="24"/>
                <w:szCs w:val="24"/>
              </w:rPr>
            </w:pPr>
            <w:r>
              <w:rPr>
                <w:color w:val="auto"/>
                <w:sz w:val="24"/>
                <w:szCs w:val="24"/>
              </w:rPr>
              <w:t>- Cần tiếp tục hoàn thiện pháp luật để tạo điều kiện thuận lợi cho việc khai thác, thương mại hóa tài sản trí tuệ, qua đó thúc đẩy phát triển công nghiệp văn hóa và hạ tầng văn hóa số, bảo đảm tài sản trí tuệ trở thành nguồn lực quan trọng của nền kinh tế sáng tạo.</w:t>
            </w:r>
          </w:p>
          <w:p w14:paraId="20C804BB">
            <w:pPr>
              <w:jc w:val="both"/>
              <w:rPr>
                <w:color w:val="auto"/>
                <w:sz w:val="24"/>
                <w:szCs w:val="24"/>
              </w:rPr>
            </w:pPr>
            <w:r>
              <w:rPr>
                <w:color w:val="auto"/>
                <w:sz w:val="24"/>
                <w:szCs w:val="24"/>
              </w:rPr>
              <w:t>- Đồng thời, cần rà soát, bổ sung quy định về giới hạn và ngoại lệ quyền tác giả, quyền liên quan theo hướng cân bằng giữa quyền lợi chính đáng của tác giả với quyền tiếp cận bình đẳng văn hóa cho cộng đồng, đặc biệt là các nhóm yếu thế, bảo đảm phù hợp với nguyên tắc công bằng xã hội và khuyến khích sáng tạo văn hóa.</w:t>
            </w:r>
          </w:p>
          <w:p w14:paraId="7202D38E">
            <w:pPr>
              <w:pStyle w:val="15"/>
              <w:spacing w:before="0" w:beforeAutospacing="0" w:after="0" w:afterAutospacing="0"/>
              <w:jc w:val="both"/>
              <w:rPr>
                <w:color w:val="auto"/>
              </w:rPr>
            </w:pPr>
            <w:r>
              <w:rPr>
                <w:color w:val="auto"/>
                <w:sz w:val="23"/>
                <w:szCs w:val="23"/>
                <w:shd w:val="clear" w:color="auto" w:fill="FFFFFF"/>
              </w:rPr>
              <w:t>Dự kiến cần bãi bỏ phần thứ hai và sửa đổi, bổ sung các quy định phần 1, 5 của Luật SHTT để tách các quy định về quyền tác giả, quyền liên quan, mục tiêu xây dựng Luật Bản quyền tác giả. (cụ thể: sửa đổi các Điều 4, 6, 7, 198, 198b, 199, 200, 202, 203, 204, 205, 206, 207, 211, 212, 213, 214, 216, 217, 218, 219; bãi bỏ Phần thứ hai và Điều 198a)</w:t>
            </w:r>
          </w:p>
        </w:tc>
        <w:tc>
          <w:tcPr>
            <w:tcW w:w="1394" w:type="dxa"/>
          </w:tcPr>
          <w:p w14:paraId="41E64E3D">
            <w:pPr>
              <w:jc w:val="both"/>
              <w:rPr>
                <w:color w:val="auto"/>
                <w:sz w:val="24"/>
                <w:szCs w:val="24"/>
              </w:rPr>
            </w:pPr>
            <w:r>
              <w:rPr>
                <w:color w:val="auto"/>
                <w:sz w:val="24"/>
                <w:szCs w:val="24"/>
              </w:rPr>
              <w:t>Sửa đổi, bổ sung</w:t>
            </w:r>
          </w:p>
        </w:tc>
        <w:tc>
          <w:tcPr>
            <w:tcW w:w="1275" w:type="dxa"/>
          </w:tcPr>
          <w:p w14:paraId="6E88C882">
            <w:pPr>
              <w:jc w:val="center"/>
              <w:rPr>
                <w:color w:val="auto"/>
                <w:sz w:val="24"/>
                <w:szCs w:val="24"/>
              </w:rPr>
            </w:pPr>
            <w:r>
              <w:rPr>
                <w:rFonts w:hint="default"/>
                <w:color w:val="auto"/>
                <w:sz w:val="24"/>
                <w:szCs w:val="24"/>
                <w:lang w:val="en-US"/>
              </w:rPr>
              <w:t>Tháng 12/</w:t>
            </w:r>
            <w:r>
              <w:rPr>
                <w:color w:val="auto"/>
                <w:sz w:val="24"/>
                <w:szCs w:val="24"/>
              </w:rPr>
              <w:t>2026</w:t>
            </w:r>
          </w:p>
        </w:tc>
        <w:tc>
          <w:tcPr>
            <w:tcW w:w="1245" w:type="dxa"/>
          </w:tcPr>
          <w:p w14:paraId="78776651">
            <w:pPr>
              <w:jc w:val="center"/>
              <w:rPr>
                <w:color w:val="auto"/>
                <w:sz w:val="24"/>
                <w:szCs w:val="24"/>
              </w:rPr>
            </w:pPr>
            <w:r>
              <w:rPr>
                <w:color w:val="auto"/>
                <w:sz w:val="24"/>
                <w:szCs w:val="24"/>
              </w:rPr>
              <w:t>Tiêu chí 1.10</w:t>
            </w:r>
          </w:p>
        </w:tc>
        <w:tc>
          <w:tcPr>
            <w:tcW w:w="1308" w:type="dxa"/>
          </w:tcPr>
          <w:p w14:paraId="500AC19C">
            <w:pPr>
              <w:jc w:val="center"/>
              <w:rPr>
                <w:color w:val="auto"/>
                <w:sz w:val="24"/>
                <w:szCs w:val="24"/>
              </w:rPr>
            </w:pPr>
            <w:r>
              <w:rPr>
                <w:color w:val="auto"/>
                <w:sz w:val="24"/>
                <w:szCs w:val="24"/>
              </w:rPr>
              <w:t>Đã cập nhật</w:t>
            </w:r>
          </w:p>
        </w:tc>
        <w:tc>
          <w:tcPr>
            <w:tcW w:w="2410" w:type="dxa"/>
          </w:tcPr>
          <w:p w14:paraId="0A7655AB">
            <w:pPr>
              <w:ind w:firstLine="284"/>
              <w:jc w:val="both"/>
              <w:rPr>
                <w:color w:val="auto"/>
                <w:sz w:val="24"/>
                <w:szCs w:val="24"/>
              </w:rPr>
            </w:pPr>
            <w:r>
              <w:rPr>
                <w:color w:val="auto"/>
                <w:sz w:val="24"/>
                <w:szCs w:val="24"/>
              </w:rPr>
              <w:t>Được đánh giá theo Báo cáo chuyên đề của Bộ Khoa học và Công nghệ (cần làm rõ, hoàn thiện thêm các nội dung cần  xử lý xử lý tại văn bản được rà soát).</w:t>
            </w:r>
          </w:p>
        </w:tc>
      </w:tr>
      <w:tr w14:paraId="0706C3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40" w:hRule="atLeast"/>
          <w:jc w:val="center"/>
        </w:trPr>
        <w:tc>
          <w:tcPr>
            <w:tcW w:w="704" w:type="dxa"/>
            <w:vMerge w:val="continue"/>
          </w:tcPr>
          <w:p w14:paraId="5A570294">
            <w:pPr>
              <w:widowControl w:val="0"/>
              <w:spacing w:line="276" w:lineRule="auto"/>
              <w:rPr>
                <w:color w:val="auto"/>
                <w:sz w:val="24"/>
                <w:szCs w:val="24"/>
              </w:rPr>
            </w:pPr>
          </w:p>
        </w:tc>
        <w:tc>
          <w:tcPr>
            <w:tcW w:w="1843" w:type="dxa"/>
            <w:vMerge w:val="continue"/>
          </w:tcPr>
          <w:p w14:paraId="1A4BBCB3">
            <w:pPr>
              <w:jc w:val="both"/>
              <w:rPr>
                <w:color w:val="auto"/>
                <w:sz w:val="24"/>
                <w:szCs w:val="24"/>
              </w:rPr>
            </w:pPr>
          </w:p>
        </w:tc>
        <w:tc>
          <w:tcPr>
            <w:tcW w:w="1417" w:type="dxa"/>
          </w:tcPr>
          <w:p w14:paraId="06AD127C">
            <w:pPr>
              <w:jc w:val="both"/>
              <w:rPr>
                <w:color w:val="auto"/>
                <w:sz w:val="24"/>
                <w:szCs w:val="24"/>
              </w:rPr>
            </w:pPr>
            <w:r>
              <w:rPr>
                <w:color w:val="auto"/>
                <w:sz w:val="24"/>
                <w:szCs w:val="24"/>
              </w:rPr>
              <w:t>Cải cách thủ tục hành chính</w:t>
            </w:r>
          </w:p>
        </w:tc>
        <w:tc>
          <w:tcPr>
            <w:tcW w:w="4051" w:type="dxa"/>
          </w:tcPr>
          <w:p w14:paraId="01F1F662">
            <w:pPr>
              <w:jc w:val="both"/>
              <w:rPr>
                <w:color w:val="auto"/>
                <w:sz w:val="24"/>
                <w:szCs w:val="24"/>
              </w:rPr>
            </w:pPr>
            <w:r>
              <w:rPr>
                <w:color w:val="auto"/>
                <w:sz w:val="24"/>
                <w:szCs w:val="24"/>
              </w:rPr>
              <w:t>Nghị quyết số 66.18/2026/NQ-CP quy định điều chỉnh một số thủ tục hành chính có bản chất tương tự nhau để đảm bảo đơn giản, gọn nhẹ, cụ thể: Điều chỉnh "Thủ tục duy trì và gia hạn hiệu lực văn bằng bảo hộ" để phù hợp với bản chất của cả TTHC "Duy trì hiệu lực văn bằng bảo hộ bằng độc quyền sáng chế/giải pháp hữu ích" và TTHC "Gia hạn hiệu lực Bằng độc quyền kiểu dáng công nghiệp, Giấy chứng nhận đăng ký nhãn hiệu"; và</w:t>
            </w:r>
            <w:r>
              <w:rPr>
                <w:color w:val="auto"/>
                <w:sz w:val="24"/>
                <w:szCs w:val="24"/>
              </w:rPr>
              <w:br w:type="textWrapping"/>
            </w:r>
            <w:r>
              <w:rPr>
                <w:color w:val="auto"/>
                <w:sz w:val="24"/>
                <w:szCs w:val="24"/>
              </w:rPr>
              <w:t>+ Điều chỉnh TTHC “Thủ tục đăng ký hợp đồng chuyển nhượng quyền sở hữu công nghiệp” vào “Thủ tục sửa đổi thông tin trên Văn bằng bảo hộ, thay đổi thông tin trong Sổ đăng ký quốc gia về sở hữu công nghiệp”</w:t>
            </w:r>
          </w:p>
          <w:p w14:paraId="1C19459B">
            <w:pPr>
              <w:pStyle w:val="15"/>
              <w:spacing w:before="0" w:beforeAutospacing="0" w:after="0" w:afterAutospacing="0"/>
              <w:jc w:val="both"/>
              <w:rPr>
                <w:color w:val="auto"/>
              </w:rPr>
            </w:pPr>
            <w:r>
              <w:rPr>
                <w:color w:val="auto"/>
              </w:rPr>
              <w:t>Những nội dung dự kiến cần sửa đổi bao gồm:</w:t>
            </w:r>
          </w:p>
          <w:p w14:paraId="725A4768">
            <w:pPr>
              <w:pStyle w:val="15"/>
              <w:spacing w:before="0" w:beforeAutospacing="0" w:after="0" w:afterAutospacing="0"/>
              <w:jc w:val="both"/>
              <w:rPr>
                <w:color w:val="auto"/>
              </w:rPr>
            </w:pPr>
            <w:r>
              <w:rPr>
                <w:color w:val="auto"/>
              </w:rPr>
              <w:t>- Sửa đổi, bổ sung khoản 3 Điều 97;</w:t>
            </w:r>
          </w:p>
          <w:p w14:paraId="0E54D33B">
            <w:pPr>
              <w:pStyle w:val="15"/>
              <w:spacing w:before="0" w:beforeAutospacing="0" w:after="0" w:afterAutospacing="0"/>
              <w:jc w:val="both"/>
              <w:rPr>
                <w:color w:val="auto"/>
              </w:rPr>
            </w:pPr>
            <w:r>
              <w:rPr>
                <w:color w:val="auto"/>
              </w:rPr>
              <w:t>- Bổ sung khoản 3 vào sau khoản 2 của Điều 138;</w:t>
            </w:r>
          </w:p>
          <w:p w14:paraId="34D2084B">
            <w:pPr>
              <w:pStyle w:val="15"/>
              <w:spacing w:before="0" w:beforeAutospacing="0" w:after="0" w:afterAutospacing="0"/>
              <w:jc w:val="both"/>
              <w:rPr>
                <w:color w:val="auto"/>
              </w:rPr>
            </w:pPr>
            <w:r>
              <w:rPr>
                <w:color w:val="auto"/>
              </w:rPr>
              <w:t>- Sửa đổi, bổ sung tên Mục 4 Chương X;</w:t>
            </w:r>
          </w:p>
          <w:p w14:paraId="4C7FF7DF">
            <w:pPr>
              <w:pStyle w:val="15"/>
              <w:spacing w:before="0" w:beforeAutospacing="0" w:after="0" w:afterAutospacing="0"/>
              <w:jc w:val="both"/>
              <w:rPr>
                <w:color w:val="auto"/>
              </w:rPr>
            </w:pPr>
            <w:r>
              <w:rPr>
                <w:color w:val="auto"/>
              </w:rPr>
              <w:t>- Sửa tên Điều và bãi bỏ khoản 1 của Điều 148</w:t>
            </w:r>
          </w:p>
          <w:p w14:paraId="7DB31A7C">
            <w:pPr>
              <w:pStyle w:val="15"/>
              <w:spacing w:before="0" w:beforeAutospacing="0" w:after="0" w:afterAutospacing="0"/>
              <w:jc w:val="both"/>
              <w:rPr>
                <w:color w:val="auto"/>
              </w:rPr>
            </w:pPr>
            <w:r>
              <w:rPr>
                <w:color w:val="auto"/>
              </w:rPr>
              <w:t>- Sửa tên Điều và bãi bỏ khoản 2 của Điều 150</w:t>
            </w:r>
          </w:p>
        </w:tc>
        <w:tc>
          <w:tcPr>
            <w:tcW w:w="1394" w:type="dxa"/>
          </w:tcPr>
          <w:p w14:paraId="5B630A88">
            <w:pPr>
              <w:jc w:val="both"/>
              <w:rPr>
                <w:color w:val="auto"/>
                <w:sz w:val="24"/>
                <w:szCs w:val="24"/>
              </w:rPr>
            </w:pPr>
            <w:r>
              <w:rPr>
                <w:color w:val="auto"/>
                <w:sz w:val="24"/>
                <w:szCs w:val="24"/>
              </w:rPr>
              <w:t>Sửa đổi, bổ sung</w:t>
            </w:r>
          </w:p>
        </w:tc>
        <w:tc>
          <w:tcPr>
            <w:tcW w:w="1275" w:type="dxa"/>
          </w:tcPr>
          <w:p w14:paraId="021D23B1">
            <w:pPr>
              <w:jc w:val="center"/>
              <w:rPr>
                <w:color w:val="auto"/>
                <w:sz w:val="24"/>
                <w:szCs w:val="24"/>
              </w:rPr>
            </w:pPr>
            <w:r>
              <w:rPr>
                <w:rFonts w:hint="default"/>
                <w:color w:val="auto"/>
                <w:sz w:val="24"/>
                <w:szCs w:val="24"/>
                <w:lang w:val="en-US"/>
              </w:rPr>
              <w:t>Tháng 12/</w:t>
            </w:r>
            <w:r>
              <w:rPr>
                <w:color w:val="auto"/>
                <w:sz w:val="24"/>
                <w:szCs w:val="24"/>
              </w:rPr>
              <w:t>2026</w:t>
            </w:r>
          </w:p>
        </w:tc>
        <w:tc>
          <w:tcPr>
            <w:tcW w:w="1245" w:type="dxa"/>
          </w:tcPr>
          <w:p w14:paraId="7262DE2C">
            <w:pPr>
              <w:jc w:val="center"/>
              <w:rPr>
                <w:color w:val="auto"/>
                <w:sz w:val="24"/>
                <w:szCs w:val="24"/>
              </w:rPr>
            </w:pPr>
            <w:r>
              <w:rPr>
                <w:color w:val="auto"/>
                <w:sz w:val="24"/>
                <w:szCs w:val="24"/>
              </w:rPr>
              <w:t>Tiêu chí 4</w:t>
            </w:r>
          </w:p>
        </w:tc>
        <w:tc>
          <w:tcPr>
            <w:tcW w:w="1308" w:type="dxa"/>
          </w:tcPr>
          <w:p w14:paraId="5C5061BB">
            <w:pPr>
              <w:jc w:val="center"/>
              <w:rPr>
                <w:color w:val="auto"/>
                <w:sz w:val="24"/>
                <w:szCs w:val="24"/>
              </w:rPr>
            </w:pPr>
            <w:r>
              <w:rPr>
                <w:color w:val="auto"/>
                <w:sz w:val="24"/>
                <w:szCs w:val="24"/>
              </w:rPr>
              <w:t xml:space="preserve">Đã cập nhật theo ý kiến thẩm định  </w:t>
            </w:r>
          </w:p>
        </w:tc>
        <w:tc>
          <w:tcPr>
            <w:tcW w:w="2410" w:type="dxa"/>
          </w:tcPr>
          <w:p w14:paraId="71766933">
            <w:pPr>
              <w:ind w:firstLine="284"/>
              <w:jc w:val="both"/>
              <w:rPr>
                <w:color w:val="auto"/>
                <w:sz w:val="24"/>
                <w:szCs w:val="24"/>
              </w:rPr>
            </w:pPr>
            <w:r>
              <w:rPr>
                <w:color w:val="auto"/>
                <w:sz w:val="24"/>
                <w:szCs w:val="24"/>
              </w:rPr>
              <w:t>Cần làm rõ, hoàn thiện thêm nội dung quy định cần xử lý.</w:t>
            </w:r>
          </w:p>
        </w:tc>
      </w:tr>
      <w:tr w14:paraId="36AE8F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40" w:hRule="atLeast"/>
          <w:jc w:val="center"/>
        </w:trPr>
        <w:tc>
          <w:tcPr>
            <w:tcW w:w="704" w:type="dxa"/>
            <w:vMerge w:val="continue"/>
          </w:tcPr>
          <w:p w14:paraId="0397A3A4">
            <w:pPr>
              <w:widowControl w:val="0"/>
              <w:spacing w:line="276" w:lineRule="auto"/>
              <w:rPr>
                <w:color w:val="auto"/>
                <w:sz w:val="24"/>
                <w:szCs w:val="24"/>
              </w:rPr>
            </w:pPr>
          </w:p>
        </w:tc>
        <w:tc>
          <w:tcPr>
            <w:tcW w:w="1843" w:type="dxa"/>
            <w:vMerge w:val="continue"/>
          </w:tcPr>
          <w:p w14:paraId="5593FD64">
            <w:pPr>
              <w:jc w:val="both"/>
              <w:rPr>
                <w:color w:val="auto"/>
                <w:sz w:val="24"/>
                <w:szCs w:val="24"/>
              </w:rPr>
            </w:pPr>
          </w:p>
        </w:tc>
        <w:tc>
          <w:tcPr>
            <w:tcW w:w="1417" w:type="dxa"/>
          </w:tcPr>
          <w:p w14:paraId="3017E0D4">
            <w:pPr>
              <w:jc w:val="both"/>
              <w:rPr>
                <w:color w:val="auto"/>
                <w:sz w:val="24"/>
                <w:szCs w:val="24"/>
              </w:rPr>
            </w:pPr>
            <w:r>
              <w:rPr>
                <w:color w:val="auto"/>
                <w:sz w:val="24"/>
                <w:szCs w:val="24"/>
              </w:rPr>
              <w:t>Nghị quyết số 66.17/NQ-CP ngày 15/5/2026 của Chính phủ cắt giảm, sửa đổi, ngành, nghề đầu tư kinh doanh có điều kiện</w:t>
            </w:r>
          </w:p>
        </w:tc>
        <w:tc>
          <w:tcPr>
            <w:tcW w:w="4051" w:type="dxa"/>
          </w:tcPr>
          <w:p w14:paraId="43EA014D">
            <w:pPr>
              <w:jc w:val="both"/>
              <w:rPr>
                <w:color w:val="auto"/>
                <w:sz w:val="24"/>
                <w:szCs w:val="24"/>
              </w:rPr>
            </w:pPr>
            <w:r>
              <w:rPr>
                <w:color w:val="auto"/>
                <w:sz w:val="24"/>
                <w:szCs w:val="24"/>
              </w:rPr>
              <w:t xml:space="preserve">Nghị quyết số 66.17/NQ-CP ngày 15/5/2026 của Chính phủ cắt giảm, sửa đổi, ngành, nghề đầu tư kinh doanh có điều kiện đã bỏ ngành nghề kinh doanh có điều kiện là “kinh doanh dịch vụ giám định sở hữu sở hữu trí tuệ”. Theo đó, các điều kiện để kinh doanh dịch vụ giám định, điều kiện cấp thẻ giám định cũng được bãi bỏ. </w:t>
            </w:r>
            <w:r>
              <w:rPr>
                <w:color w:val="auto"/>
                <w:sz w:val="24"/>
                <w:szCs w:val="24"/>
              </w:rPr>
              <w:br w:type="textWrapping"/>
            </w:r>
            <w:r>
              <w:rPr>
                <w:color w:val="auto"/>
                <w:sz w:val="24"/>
                <w:szCs w:val="24"/>
              </w:rPr>
              <w:t xml:space="preserve">Do vậy, cần sửa đổi, bổ sung quy định tại Điều 201 để bảo đảm sự thống nhất của quy định pháp luật, thực hiện chủ trương về cắt giảm, đơn giản hóa điều kiện hành nghề, đầu tư, kinh doanh. </w:t>
            </w:r>
          </w:p>
        </w:tc>
        <w:tc>
          <w:tcPr>
            <w:tcW w:w="1394" w:type="dxa"/>
          </w:tcPr>
          <w:p w14:paraId="0D38B701">
            <w:pPr>
              <w:jc w:val="both"/>
              <w:rPr>
                <w:color w:val="auto"/>
                <w:sz w:val="24"/>
                <w:szCs w:val="24"/>
              </w:rPr>
            </w:pPr>
            <w:r>
              <w:rPr>
                <w:color w:val="auto"/>
                <w:sz w:val="24"/>
                <w:szCs w:val="24"/>
              </w:rPr>
              <w:t>Sửa đổi, bổ sung</w:t>
            </w:r>
          </w:p>
        </w:tc>
        <w:tc>
          <w:tcPr>
            <w:tcW w:w="1275" w:type="dxa"/>
          </w:tcPr>
          <w:p w14:paraId="23788809">
            <w:pPr>
              <w:jc w:val="center"/>
              <w:rPr>
                <w:color w:val="auto"/>
                <w:sz w:val="24"/>
                <w:szCs w:val="24"/>
              </w:rPr>
            </w:pPr>
            <w:r>
              <w:rPr>
                <w:rFonts w:hint="default"/>
                <w:color w:val="auto"/>
                <w:sz w:val="24"/>
                <w:szCs w:val="24"/>
                <w:lang w:val="en-US"/>
              </w:rPr>
              <w:t>Tháng 12/</w:t>
            </w:r>
            <w:r>
              <w:rPr>
                <w:color w:val="auto"/>
                <w:sz w:val="24"/>
                <w:szCs w:val="24"/>
              </w:rPr>
              <w:t>2026</w:t>
            </w:r>
          </w:p>
        </w:tc>
        <w:tc>
          <w:tcPr>
            <w:tcW w:w="1245" w:type="dxa"/>
          </w:tcPr>
          <w:p w14:paraId="78FB1CFA">
            <w:pPr>
              <w:jc w:val="center"/>
              <w:rPr>
                <w:color w:val="auto"/>
                <w:sz w:val="24"/>
                <w:szCs w:val="24"/>
              </w:rPr>
            </w:pPr>
            <w:r>
              <w:rPr>
                <w:color w:val="auto"/>
                <w:sz w:val="24"/>
                <w:szCs w:val="24"/>
              </w:rPr>
              <w:t>Tiêu chí 4</w:t>
            </w:r>
          </w:p>
        </w:tc>
        <w:tc>
          <w:tcPr>
            <w:tcW w:w="1308" w:type="dxa"/>
          </w:tcPr>
          <w:p w14:paraId="29422547">
            <w:pPr>
              <w:jc w:val="center"/>
              <w:rPr>
                <w:color w:val="auto"/>
                <w:sz w:val="24"/>
                <w:szCs w:val="24"/>
              </w:rPr>
            </w:pPr>
            <w:r>
              <w:rPr>
                <w:color w:val="auto"/>
                <w:sz w:val="24"/>
                <w:szCs w:val="24"/>
              </w:rPr>
              <w:t xml:space="preserve">Đã cập nhật theo ý kiến thẩm định  </w:t>
            </w:r>
          </w:p>
        </w:tc>
        <w:tc>
          <w:tcPr>
            <w:tcW w:w="2410" w:type="dxa"/>
          </w:tcPr>
          <w:p w14:paraId="4CEE974C">
            <w:pPr>
              <w:ind w:firstLine="284"/>
              <w:jc w:val="both"/>
              <w:rPr>
                <w:color w:val="auto"/>
                <w:sz w:val="24"/>
                <w:szCs w:val="24"/>
              </w:rPr>
            </w:pPr>
            <w:r>
              <w:rPr>
                <w:color w:val="auto"/>
                <w:sz w:val="24"/>
                <w:szCs w:val="24"/>
              </w:rPr>
              <w:t>Cần làm rõ, hoàn thiện thêm để xác định chính xác Tiêu chí rà soát văn bản, đề nghị cân nhắc chuyển sang Tiêu chí 4.</w:t>
            </w:r>
          </w:p>
        </w:tc>
      </w:tr>
      <w:tr w14:paraId="30B9B0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40" w:hRule="atLeast"/>
          <w:jc w:val="center"/>
        </w:trPr>
        <w:tc>
          <w:tcPr>
            <w:tcW w:w="704" w:type="dxa"/>
            <w:vMerge w:val="continue"/>
          </w:tcPr>
          <w:p w14:paraId="3F58D6C0">
            <w:pPr>
              <w:widowControl w:val="0"/>
              <w:spacing w:line="276" w:lineRule="auto"/>
              <w:rPr>
                <w:color w:val="auto"/>
                <w:sz w:val="24"/>
                <w:szCs w:val="24"/>
              </w:rPr>
            </w:pPr>
          </w:p>
        </w:tc>
        <w:tc>
          <w:tcPr>
            <w:tcW w:w="1843" w:type="dxa"/>
            <w:vMerge w:val="restart"/>
          </w:tcPr>
          <w:p w14:paraId="2608863E">
            <w:pPr>
              <w:jc w:val="both"/>
              <w:rPr>
                <w:color w:val="auto"/>
                <w:sz w:val="24"/>
                <w:szCs w:val="24"/>
              </w:rPr>
            </w:pPr>
          </w:p>
        </w:tc>
        <w:tc>
          <w:tcPr>
            <w:tcW w:w="1417" w:type="dxa"/>
          </w:tcPr>
          <w:p w14:paraId="5A8042A1">
            <w:pPr>
              <w:jc w:val="both"/>
              <w:rPr>
                <w:color w:val="auto"/>
                <w:sz w:val="24"/>
                <w:szCs w:val="24"/>
              </w:rPr>
            </w:pPr>
            <w:r>
              <w:rPr>
                <w:color w:val="auto"/>
                <w:sz w:val="24"/>
                <w:szCs w:val="24"/>
              </w:rPr>
              <w:t>Điều 15(2) Công ước UPOV 1991</w:t>
            </w:r>
          </w:p>
        </w:tc>
        <w:tc>
          <w:tcPr>
            <w:tcW w:w="4051" w:type="dxa"/>
          </w:tcPr>
          <w:p w14:paraId="66E30F82">
            <w:pPr>
              <w:jc w:val="both"/>
              <w:rPr>
                <w:color w:val="auto"/>
                <w:sz w:val="24"/>
                <w:szCs w:val="24"/>
              </w:rPr>
            </w:pPr>
            <w:r>
              <w:rPr>
                <w:color w:val="auto"/>
                <w:sz w:val="24"/>
                <w:szCs w:val="24"/>
              </w:rPr>
              <w:t>Quy định tại điểm d khoản 1 Điều 190 Luật Sở hữu trí tuệ cho phép “Hộ sản xuất cá thể sử dụng sản phẩm thu hoạch từ giống cây trồng để tự nhân giống và gieo trồng cho vụ sau trên diện tích đất của mình’’. Tuy nhiên, Luật SHTT hoặc quy định pháp luật hiện hành khác đều không đề cập tới phạm vi áp dụng, quy mô sản xuất, nhóm cây trồng (ngoại lệ quyền liên quan) cũng như quy định cơ chế táp dụng phù hợp nhằm bảo đảm hài hòa lợi ích giữa chủ bằng bảo hộ và hộ sản xuất.</w:t>
            </w:r>
            <w:r>
              <w:rPr>
                <w:color w:val="auto"/>
                <w:sz w:val="24"/>
                <w:szCs w:val="24"/>
              </w:rPr>
              <w:br w:type="textWrapping"/>
            </w:r>
            <w:r>
              <w:rPr>
                <w:color w:val="auto"/>
                <w:sz w:val="24"/>
                <w:szCs w:val="24"/>
              </w:rPr>
              <w:t>Trong quá trình đánh giá pháp luật của Việt Nam, UPOV đã nhiều lần nhấn mạnh ngoại lệ đối với quyền của chủ bằng bảo hộ liên quan đến việc nông dân giữ giống (farm-saved seed/farmers' privilege) cần được áp dụng trong phạm vi hợp lý và bảo đảm lợi ích chính đáng của chủ bằng bảo hộ. Điều 15(2) Công ước UPOV 1991 quy định quốc gia thành viên chỉ được cho phép nông dân sử dụng sản phẩm thu hoạch để làm giống trên chính diện tích của mình "trong giới hạn hợp lý và bảo đảm lợi ích hợp pháp của nhà chọn tạo giống".</w:t>
            </w:r>
            <w:r>
              <w:rPr>
                <w:color w:val="auto"/>
                <w:sz w:val="24"/>
                <w:szCs w:val="24"/>
              </w:rPr>
              <w:br w:type="textWrapping"/>
            </w:r>
            <w:r>
              <w:rPr>
                <w:color w:val="auto"/>
                <w:sz w:val="24"/>
                <w:szCs w:val="24"/>
              </w:rPr>
              <w:t>Thực tiễn cho thấy nhiều quốc gia thành viên UPOV đã quy định cụ thể về ngoại lệ này thông qua việc giới hạn đối tượng áp dụng, quy mô trang trại, loại cây trồng được phép giữ giống hoặc cơ chế trả thù lao cho chủ bằng bảo hộ nhằm bảo đảm cân bằng lợi ích giữa nhà chọn tạo giống và người nông dân. Một số quốc gia chỉ áp dụng đối với các loài cây trồng nhất định; một số quốc gia quy định ngưỡng diện tích hoặc phân biệt giữa nông hộ nhỏ và cơ sở sản xuất quy mô lớn.</w:t>
            </w:r>
            <w:r>
              <w:rPr>
                <w:color w:val="auto"/>
                <w:sz w:val="24"/>
                <w:szCs w:val="24"/>
              </w:rPr>
              <w:br w:type="textWrapping"/>
            </w:r>
            <w:r>
              <w:rPr>
                <w:color w:val="auto"/>
                <w:sz w:val="24"/>
                <w:szCs w:val="24"/>
              </w:rPr>
              <w:t>Trong bối cảnh tăng cường công tác thanh tra, kiểm tra và hậu kiểm đối với hoạt động sản xuất, kinh doanh giống cây trồng, việc chưa quy định rõ phạm vi, đối tượng và điều kiện áp dụng ngoại lệ đối với trường hợp hộ sản xuất cá thể giữ giống để gieo trồng cho vụ sau gây khó khăn cho cơ quan quản lý nhà nước trong việc xác định hành vi hợp pháp và hành vi xâm phạm quyền đối với giống cây trồng được bảo hộ. Do đó, cần làm rõ quy định này nhằm tạo cơ sở pháp lý thống nhất cho hoạt động thanh tra, kiểm tra và xử lý vi phạm.</w:t>
            </w:r>
          </w:p>
        </w:tc>
        <w:tc>
          <w:tcPr>
            <w:tcW w:w="1394" w:type="dxa"/>
          </w:tcPr>
          <w:p w14:paraId="3F87DF34">
            <w:pPr>
              <w:jc w:val="both"/>
              <w:rPr>
                <w:color w:val="auto"/>
                <w:sz w:val="24"/>
                <w:szCs w:val="24"/>
              </w:rPr>
            </w:pPr>
            <w:r>
              <w:rPr>
                <w:color w:val="auto"/>
                <w:sz w:val="24"/>
                <w:szCs w:val="24"/>
              </w:rPr>
              <w:t>Sửa đổi, bổ sung</w:t>
            </w:r>
          </w:p>
        </w:tc>
        <w:tc>
          <w:tcPr>
            <w:tcW w:w="1275" w:type="dxa"/>
          </w:tcPr>
          <w:p w14:paraId="7FCBA6F6">
            <w:pPr>
              <w:ind w:left="-55" w:right="-24"/>
              <w:jc w:val="both"/>
              <w:rPr>
                <w:color w:val="auto"/>
                <w:sz w:val="24"/>
                <w:szCs w:val="24"/>
              </w:rPr>
            </w:pPr>
            <w:r>
              <w:rPr>
                <w:color w:val="auto"/>
                <w:sz w:val="24"/>
                <w:szCs w:val="24"/>
              </w:rPr>
              <w:t>2027-2028 (Theo đề xuất của Bộ Nông nghiệp và Môi trường, nội dung này sẽ được nghiên cứu để sửa đổi trong giai đoạn 2027 – 2028 do đây là nội dung phức tạp, cần phải nghiên cứu kỹ lưỡng. Ngoài ra, nội dung chính sách đối với dự án Luật sửa đổi, bổ sung một số điều của Luật SHTT năm 2026 đã được Chính phủ phê duyệt cũng không có nội dung này)</w:t>
            </w:r>
          </w:p>
        </w:tc>
        <w:tc>
          <w:tcPr>
            <w:tcW w:w="1245" w:type="dxa"/>
          </w:tcPr>
          <w:p w14:paraId="53C37B07">
            <w:pPr>
              <w:jc w:val="center"/>
              <w:rPr>
                <w:color w:val="auto"/>
                <w:sz w:val="24"/>
                <w:szCs w:val="24"/>
              </w:rPr>
            </w:pPr>
            <w:r>
              <w:rPr>
                <w:color w:val="auto"/>
                <w:sz w:val="24"/>
                <w:szCs w:val="24"/>
              </w:rPr>
              <w:t>Tiêu chí 3</w:t>
            </w:r>
          </w:p>
        </w:tc>
        <w:tc>
          <w:tcPr>
            <w:tcW w:w="1308" w:type="dxa"/>
          </w:tcPr>
          <w:p w14:paraId="1EBF0EF3">
            <w:pPr>
              <w:jc w:val="center"/>
              <w:rPr>
                <w:color w:val="auto"/>
                <w:sz w:val="24"/>
                <w:szCs w:val="24"/>
              </w:rPr>
            </w:pPr>
            <w:r>
              <w:rPr>
                <w:color w:val="auto"/>
                <w:sz w:val="24"/>
                <w:szCs w:val="24"/>
              </w:rPr>
              <w:t xml:space="preserve">Đã cập nhật theo ý kiến thẩm định  </w:t>
            </w:r>
          </w:p>
        </w:tc>
        <w:tc>
          <w:tcPr>
            <w:tcW w:w="2410" w:type="dxa"/>
          </w:tcPr>
          <w:p w14:paraId="63A6436A">
            <w:pPr>
              <w:ind w:firstLine="284"/>
              <w:jc w:val="both"/>
              <w:rPr>
                <w:color w:val="auto"/>
                <w:sz w:val="24"/>
                <w:szCs w:val="24"/>
              </w:rPr>
            </w:pPr>
            <w:r>
              <w:rPr>
                <w:color w:val="auto"/>
                <w:sz w:val="24"/>
                <w:szCs w:val="24"/>
              </w:rPr>
              <w:t>Nhất trí.</w:t>
            </w:r>
          </w:p>
          <w:p w14:paraId="0341FF6A">
            <w:pPr>
              <w:ind w:firstLine="284"/>
              <w:jc w:val="both"/>
              <w:rPr>
                <w:color w:val="auto"/>
                <w:sz w:val="24"/>
                <w:szCs w:val="24"/>
              </w:rPr>
            </w:pPr>
            <w:r>
              <w:rPr>
                <w:color w:val="auto"/>
                <w:sz w:val="24"/>
                <w:szCs w:val="24"/>
              </w:rPr>
              <w:t>Tuy nhiên đề nghị xem xét lại lộ trình xử lý, cùng là phương án “sửa đổi, bổ sung Luật SHTT”, tuy nhiên lộ trình của nội dung này là “2027-2028”, trong khi đó lộ trình xử lý của 3 nội dung trên là “2026”.</w:t>
            </w:r>
          </w:p>
        </w:tc>
      </w:tr>
      <w:tr w14:paraId="5595A0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40" w:hRule="atLeast"/>
          <w:jc w:val="center"/>
        </w:trPr>
        <w:tc>
          <w:tcPr>
            <w:tcW w:w="704" w:type="dxa"/>
            <w:vMerge w:val="continue"/>
          </w:tcPr>
          <w:p w14:paraId="5EF7BEE6">
            <w:pPr>
              <w:widowControl w:val="0"/>
              <w:spacing w:line="276" w:lineRule="auto"/>
              <w:rPr>
                <w:color w:val="auto"/>
                <w:sz w:val="24"/>
                <w:szCs w:val="24"/>
              </w:rPr>
            </w:pPr>
          </w:p>
        </w:tc>
        <w:tc>
          <w:tcPr>
            <w:tcW w:w="1843" w:type="dxa"/>
            <w:vMerge w:val="continue"/>
          </w:tcPr>
          <w:p w14:paraId="4FFB427C">
            <w:pPr>
              <w:jc w:val="both"/>
              <w:rPr>
                <w:color w:val="auto"/>
                <w:sz w:val="24"/>
                <w:szCs w:val="24"/>
              </w:rPr>
            </w:pPr>
          </w:p>
        </w:tc>
        <w:tc>
          <w:tcPr>
            <w:tcW w:w="1417" w:type="dxa"/>
          </w:tcPr>
          <w:p w14:paraId="64764D47">
            <w:pPr>
              <w:jc w:val="both"/>
              <w:rPr>
                <w:color w:val="auto"/>
                <w:sz w:val="24"/>
                <w:szCs w:val="24"/>
              </w:rPr>
            </w:pPr>
            <w:r>
              <w:rPr>
                <w:color w:val="auto"/>
                <w:sz w:val="24"/>
                <w:szCs w:val="24"/>
              </w:rPr>
              <w:t>Tình hình thực tiễn</w:t>
            </w:r>
          </w:p>
        </w:tc>
        <w:tc>
          <w:tcPr>
            <w:tcW w:w="4051" w:type="dxa"/>
          </w:tcPr>
          <w:p w14:paraId="4EFB9EBA">
            <w:pPr>
              <w:jc w:val="both"/>
              <w:rPr>
                <w:color w:val="auto"/>
                <w:sz w:val="24"/>
                <w:szCs w:val="24"/>
              </w:rPr>
            </w:pPr>
            <w:r>
              <w:rPr>
                <w:color w:val="auto"/>
                <w:sz w:val="24"/>
                <w:szCs w:val="24"/>
              </w:rPr>
              <w:t>Phần thứ tư của Luật SHTT Quyền đối với giống cây trồng quy định tương đối chi tiết một số nội dung mang tính thủ tục hành chính như trình tự thẩm định đơn, thẩm định nội dung, cấp, cấp lại, đình chỉ, hủy bỏ hiệu lực bằng bảo hộ. Các quy định này có tính chất kỹ thuật, thường phát sinh yêu cầu điều chỉnh để phù hợp với thực tiễn quản lý nhà nước, chuyển đổi số, yêu cầu hội nhập quốc tế hay sự thay đổi của các quy trình nghiệp vụ. Việc quy định chi tiết ngay trong Luật dẫn đến khó khăn khi cần sửa đổi, bổ sung để đáp ứng yêu cầu thực tiễn; làm giảm tính linh hoạt trong công tác quản lý và cải cách thủ tục hành chính.</w:t>
            </w:r>
            <w:r>
              <w:rPr>
                <w:color w:val="auto"/>
                <w:sz w:val="24"/>
                <w:szCs w:val="24"/>
              </w:rPr>
              <w:br w:type="textWrapping"/>
            </w:r>
            <w:r>
              <w:rPr>
                <w:color w:val="auto"/>
                <w:sz w:val="24"/>
                <w:szCs w:val="24"/>
              </w:rPr>
              <w:t>Bên cạnh đó, xu hướng xây dựng pháp luật hiện nay là Luật chỉ quy định những vấn đề có tính nguyên tắc, khung chính sách cơ bản, trong khi các nội dung mang tính kỹ thuật, quy định về thủ tục hành chính được giao Chính phủ hoặc cơ quan có thẩm quyền quy định chi tiết</w:t>
            </w:r>
          </w:p>
        </w:tc>
        <w:tc>
          <w:tcPr>
            <w:tcW w:w="1394" w:type="dxa"/>
          </w:tcPr>
          <w:p w14:paraId="66B13CA1">
            <w:pPr>
              <w:jc w:val="both"/>
              <w:rPr>
                <w:color w:val="auto"/>
                <w:sz w:val="24"/>
                <w:szCs w:val="24"/>
              </w:rPr>
            </w:pPr>
            <w:r>
              <w:rPr>
                <w:color w:val="auto"/>
                <w:sz w:val="24"/>
                <w:szCs w:val="24"/>
              </w:rPr>
              <w:t>Sửa đổi, bổ sung</w:t>
            </w:r>
          </w:p>
        </w:tc>
        <w:tc>
          <w:tcPr>
            <w:tcW w:w="1275" w:type="dxa"/>
          </w:tcPr>
          <w:p w14:paraId="1FD7689B">
            <w:pPr>
              <w:jc w:val="center"/>
              <w:rPr>
                <w:color w:val="auto"/>
                <w:sz w:val="24"/>
                <w:szCs w:val="24"/>
              </w:rPr>
            </w:pPr>
            <w:r>
              <w:rPr>
                <w:rFonts w:hint="default"/>
                <w:color w:val="auto"/>
                <w:sz w:val="24"/>
                <w:szCs w:val="24"/>
                <w:lang w:val="en-US"/>
              </w:rPr>
              <w:t>Tháng 12/</w:t>
            </w:r>
            <w:r>
              <w:rPr>
                <w:color w:val="auto"/>
                <w:sz w:val="24"/>
                <w:szCs w:val="24"/>
              </w:rPr>
              <w:t>2026</w:t>
            </w:r>
          </w:p>
        </w:tc>
        <w:tc>
          <w:tcPr>
            <w:tcW w:w="1245" w:type="dxa"/>
          </w:tcPr>
          <w:p w14:paraId="2E1B4B89">
            <w:pPr>
              <w:jc w:val="center"/>
              <w:rPr>
                <w:color w:val="auto"/>
                <w:sz w:val="24"/>
                <w:szCs w:val="24"/>
              </w:rPr>
            </w:pPr>
            <w:r>
              <w:rPr>
                <w:color w:val="auto"/>
                <w:sz w:val="24"/>
                <w:szCs w:val="24"/>
              </w:rPr>
              <w:t>Tiêu chí 5</w:t>
            </w:r>
          </w:p>
        </w:tc>
        <w:tc>
          <w:tcPr>
            <w:tcW w:w="1308" w:type="dxa"/>
          </w:tcPr>
          <w:p w14:paraId="4A198A93">
            <w:pPr>
              <w:jc w:val="center"/>
              <w:rPr>
                <w:color w:val="auto"/>
                <w:sz w:val="24"/>
                <w:szCs w:val="24"/>
              </w:rPr>
            </w:pPr>
          </w:p>
        </w:tc>
        <w:tc>
          <w:tcPr>
            <w:tcW w:w="2410" w:type="dxa"/>
          </w:tcPr>
          <w:p w14:paraId="065C9E6D">
            <w:pPr>
              <w:ind w:firstLine="284"/>
              <w:jc w:val="both"/>
              <w:rPr>
                <w:color w:val="auto"/>
                <w:sz w:val="24"/>
                <w:szCs w:val="24"/>
              </w:rPr>
            </w:pPr>
            <w:r>
              <w:rPr>
                <w:color w:val="auto"/>
                <w:sz w:val="24"/>
                <w:szCs w:val="24"/>
              </w:rPr>
              <w:t>Nhất trí.</w:t>
            </w:r>
          </w:p>
        </w:tc>
      </w:tr>
      <w:tr w14:paraId="63EF1B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01" w:hRule="atLeast"/>
          <w:jc w:val="center"/>
        </w:trPr>
        <w:tc>
          <w:tcPr>
            <w:tcW w:w="704" w:type="dxa"/>
            <w:vMerge w:val="restart"/>
          </w:tcPr>
          <w:p w14:paraId="69A919C3">
            <w:pPr>
              <w:numPr>
                <w:ilvl w:val="0"/>
                <w:numId w:val="8"/>
              </w:numPr>
              <w:tabs>
                <w:tab w:val="left" w:pos="425"/>
              </w:tabs>
              <w:jc w:val="center"/>
              <w:rPr>
                <w:color w:val="auto"/>
                <w:sz w:val="24"/>
                <w:szCs w:val="24"/>
              </w:rPr>
            </w:pPr>
          </w:p>
        </w:tc>
        <w:tc>
          <w:tcPr>
            <w:tcW w:w="1843" w:type="dxa"/>
            <w:vMerge w:val="restart"/>
          </w:tcPr>
          <w:p w14:paraId="6FEB198F">
            <w:pPr>
              <w:jc w:val="both"/>
              <w:rPr>
                <w:color w:val="auto"/>
                <w:sz w:val="24"/>
                <w:szCs w:val="24"/>
              </w:rPr>
            </w:pPr>
            <w:r>
              <w:rPr>
                <w:color w:val="auto"/>
                <w:sz w:val="24"/>
                <w:szCs w:val="24"/>
              </w:rPr>
              <w:t xml:space="preserve">Nghị định số 65/2023/NĐ-CP </w:t>
            </w:r>
            <w:r>
              <w:rPr>
                <w:rFonts w:hint="default"/>
                <w:color w:val="auto"/>
                <w:sz w:val="24"/>
                <w:szCs w:val="24"/>
                <w:lang w:val="en-US"/>
              </w:rPr>
              <w:t xml:space="preserve"> ngày 23/8/2023 </w:t>
            </w:r>
            <w:r>
              <w:rPr>
                <w:color w:val="auto"/>
                <w:sz w:val="24"/>
                <w:szCs w:val="24"/>
              </w:rPr>
              <w:t xml:space="preserve">của Chính phủ quy định chi tiết một số điều và biện pháp thi hành Luật Sở hữu trí tuệ về sở hữu công nghiệp, bảo vệ quyền sở hữu công nghiệp, quyền đối với giống cây trồng và quản lý nhà nước về sở hữu trí tuệ </w:t>
            </w:r>
          </w:p>
        </w:tc>
        <w:tc>
          <w:tcPr>
            <w:tcW w:w="1417" w:type="dxa"/>
          </w:tcPr>
          <w:p w14:paraId="1D91288D">
            <w:pPr>
              <w:jc w:val="both"/>
              <w:rPr>
                <w:color w:val="auto"/>
                <w:sz w:val="24"/>
                <w:szCs w:val="24"/>
              </w:rPr>
            </w:pPr>
            <w:r>
              <w:rPr>
                <w:color w:val="auto"/>
                <w:sz w:val="24"/>
                <w:szCs w:val="24"/>
              </w:rPr>
              <w:t>Nghị quyết số 66.17/NQ-CP ngày 15/5/2026 của Chính phủ cắt giảm, sửa đổi, ngành, nghề đầu tư kinh doanh có điều kiện đã bỏ ngành nghề kinh doanh có điều kiện</w:t>
            </w:r>
          </w:p>
        </w:tc>
        <w:tc>
          <w:tcPr>
            <w:tcW w:w="4051" w:type="dxa"/>
          </w:tcPr>
          <w:p w14:paraId="1AC967F6">
            <w:pPr>
              <w:jc w:val="both"/>
              <w:rPr>
                <w:color w:val="auto"/>
                <w:sz w:val="24"/>
                <w:szCs w:val="24"/>
              </w:rPr>
            </w:pPr>
            <w:r>
              <w:rPr>
                <w:color w:val="auto"/>
                <w:sz w:val="24"/>
                <w:szCs w:val="24"/>
              </w:rPr>
              <w:t xml:space="preserve">Nghị quyết số 66.17/NQ-CP quy định “kinh doanh dịch vụ giám định sở hữu sở hữu trí tuệ”. Theo đó, các điều kiện để kinh doanh dịch vụ giám định, điều kiện cấp thẻ giám định tại Điều 201 được bãi bỏ. </w:t>
            </w:r>
            <w:r>
              <w:rPr>
                <w:color w:val="auto"/>
                <w:sz w:val="24"/>
                <w:szCs w:val="24"/>
              </w:rPr>
              <w:br w:type="textWrapping"/>
            </w:r>
            <w:r>
              <w:rPr>
                <w:color w:val="auto"/>
                <w:sz w:val="24"/>
                <w:szCs w:val="24"/>
              </w:rPr>
              <w:t>Do đó, các quy định liên quan đến giám định viên, thẻ giám định viên trong Nghị định cũng cần được sửa đổi để bảo đảm tính thống nhất của pháp luật, dự kiến cần sửa đổi các Điều 105, 106, 107</w:t>
            </w:r>
          </w:p>
        </w:tc>
        <w:tc>
          <w:tcPr>
            <w:tcW w:w="1394" w:type="dxa"/>
          </w:tcPr>
          <w:p w14:paraId="43330026">
            <w:pPr>
              <w:rPr>
                <w:color w:val="auto"/>
                <w:sz w:val="24"/>
                <w:szCs w:val="24"/>
              </w:rPr>
            </w:pPr>
            <w:r>
              <w:rPr>
                <w:color w:val="auto"/>
                <w:sz w:val="24"/>
                <w:szCs w:val="24"/>
              </w:rPr>
              <w:t>Sửa đổi, bổ sung</w:t>
            </w:r>
          </w:p>
        </w:tc>
        <w:tc>
          <w:tcPr>
            <w:tcW w:w="1275" w:type="dxa"/>
          </w:tcPr>
          <w:p w14:paraId="746D01FB">
            <w:pPr>
              <w:jc w:val="center"/>
              <w:rPr>
                <w:color w:val="auto"/>
                <w:sz w:val="24"/>
                <w:szCs w:val="24"/>
              </w:rPr>
            </w:pPr>
            <w:r>
              <w:rPr>
                <w:color w:val="auto"/>
                <w:sz w:val="24"/>
                <w:szCs w:val="24"/>
              </w:rPr>
              <w:t>Tháng 3/2027</w:t>
            </w:r>
          </w:p>
        </w:tc>
        <w:tc>
          <w:tcPr>
            <w:tcW w:w="1245" w:type="dxa"/>
          </w:tcPr>
          <w:p w14:paraId="66B49435">
            <w:pPr>
              <w:jc w:val="center"/>
              <w:rPr>
                <w:color w:val="auto"/>
                <w:sz w:val="24"/>
                <w:szCs w:val="24"/>
              </w:rPr>
            </w:pPr>
            <w:r>
              <w:rPr>
                <w:color w:val="auto"/>
                <w:sz w:val="24"/>
                <w:szCs w:val="24"/>
              </w:rPr>
              <w:t>Tiêu chí 4</w:t>
            </w:r>
          </w:p>
        </w:tc>
        <w:tc>
          <w:tcPr>
            <w:tcW w:w="1308" w:type="dxa"/>
            <w:vMerge w:val="restart"/>
          </w:tcPr>
          <w:p w14:paraId="6F05E8FE">
            <w:pPr>
              <w:jc w:val="center"/>
              <w:rPr>
                <w:color w:val="auto"/>
                <w:sz w:val="24"/>
                <w:szCs w:val="24"/>
              </w:rPr>
            </w:pPr>
            <w:r>
              <w:rPr>
                <w:color w:val="auto"/>
                <w:sz w:val="24"/>
                <w:szCs w:val="24"/>
              </w:rPr>
              <w:t xml:space="preserve">Đã cập nhật theo ý kiến thẩm định  </w:t>
            </w:r>
          </w:p>
        </w:tc>
        <w:tc>
          <w:tcPr>
            <w:tcW w:w="2410" w:type="dxa"/>
          </w:tcPr>
          <w:p w14:paraId="3A4844F3">
            <w:pPr>
              <w:jc w:val="both"/>
              <w:rPr>
                <w:color w:val="auto"/>
                <w:sz w:val="24"/>
                <w:szCs w:val="24"/>
              </w:rPr>
            </w:pPr>
            <w:r>
              <w:rPr>
                <w:color w:val="auto"/>
                <w:sz w:val="24"/>
                <w:szCs w:val="24"/>
              </w:rPr>
              <w:t>- Chỉnh lý tên văn bản được rà soát, văn bản làm căn cứ rà soát cho đầy đủ;</w:t>
            </w:r>
          </w:p>
          <w:p w14:paraId="482D388A">
            <w:pPr>
              <w:jc w:val="both"/>
              <w:rPr>
                <w:color w:val="auto"/>
                <w:sz w:val="24"/>
                <w:szCs w:val="24"/>
              </w:rPr>
            </w:pPr>
            <w:r>
              <w:rPr>
                <w:color w:val="auto"/>
                <w:sz w:val="24"/>
                <w:szCs w:val="24"/>
              </w:rPr>
              <w:t>- Cần làm rõ, hoàn thiện thêm, phân tích cụ thể các quy định cụ thể cần xử lý tại văn bản và xác định lại Tiêu chí rà soát, cân nhắc chuyển sang Tiêu chí 4.</w:t>
            </w:r>
          </w:p>
        </w:tc>
      </w:tr>
      <w:tr w14:paraId="1041BD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67" w:hRule="atLeast"/>
          <w:jc w:val="center"/>
        </w:trPr>
        <w:tc>
          <w:tcPr>
            <w:tcW w:w="704" w:type="dxa"/>
            <w:vMerge w:val="continue"/>
          </w:tcPr>
          <w:p w14:paraId="28D2B841">
            <w:pPr>
              <w:widowControl w:val="0"/>
              <w:spacing w:line="276" w:lineRule="auto"/>
              <w:rPr>
                <w:color w:val="auto"/>
                <w:sz w:val="24"/>
                <w:szCs w:val="24"/>
              </w:rPr>
            </w:pPr>
          </w:p>
        </w:tc>
        <w:tc>
          <w:tcPr>
            <w:tcW w:w="1843" w:type="dxa"/>
            <w:vMerge w:val="continue"/>
          </w:tcPr>
          <w:p w14:paraId="45FB64C7">
            <w:pPr>
              <w:widowControl w:val="0"/>
              <w:spacing w:line="276" w:lineRule="auto"/>
              <w:rPr>
                <w:color w:val="auto"/>
                <w:sz w:val="24"/>
                <w:szCs w:val="24"/>
              </w:rPr>
            </w:pPr>
          </w:p>
        </w:tc>
        <w:tc>
          <w:tcPr>
            <w:tcW w:w="1417" w:type="dxa"/>
          </w:tcPr>
          <w:p w14:paraId="02991B1C">
            <w:pPr>
              <w:jc w:val="both"/>
              <w:rPr>
                <w:color w:val="auto"/>
                <w:sz w:val="24"/>
                <w:szCs w:val="24"/>
              </w:rPr>
            </w:pPr>
            <w:r>
              <w:rPr>
                <w:color w:val="auto"/>
                <w:sz w:val="24"/>
                <w:szCs w:val="24"/>
              </w:rPr>
              <w:t xml:space="preserve">Nghị quyết số 66.18/2026/NQ-CP ngày 15/5/2026 của Chính phủ quy định cắt giảm các thủ tục hành chính, điều kiện kinh doanh </w:t>
            </w:r>
            <w:r>
              <w:rPr>
                <w:rFonts w:hint="default"/>
                <w:color w:val="auto"/>
                <w:sz w:val="24"/>
                <w:szCs w:val="24"/>
                <w:lang w:val="en-US"/>
              </w:rPr>
              <w:t xml:space="preserve"> </w:t>
            </w:r>
          </w:p>
        </w:tc>
        <w:tc>
          <w:tcPr>
            <w:tcW w:w="4051" w:type="dxa"/>
          </w:tcPr>
          <w:p w14:paraId="52606D1D">
            <w:pPr>
              <w:jc w:val="both"/>
              <w:rPr>
                <w:color w:val="auto"/>
                <w:sz w:val="24"/>
                <w:szCs w:val="24"/>
              </w:rPr>
            </w:pPr>
            <w:r>
              <w:rPr>
                <w:color w:val="auto"/>
                <w:sz w:val="24"/>
                <w:szCs w:val="24"/>
              </w:rPr>
              <w:t>Các thủ tục cắt giảm bao gồm: công nhận cơ sở đào tạo nghiệp vụ giám định sở hữu công nghiệp; cấp, cấp lại, thu hồi Thẻ giám định viên sở hữu công nghiệp, Thẻ giám định viên quyền đối với giống cây trồng; cấp, cấp lại, thu hồi Giấy chứng nhận tổ chức giám định sở hữu công nghiệp, Giấy chứng nhận tổ chức giám định quyền đối với giống cây trồng. Nghị quyết cũng quy định không thực hiện các nội dung liên quan đến đào tạo và kiểm tra nghiệp vụ giám định trong cả hai lĩnh vực nêu trên</w:t>
            </w:r>
          </w:p>
          <w:p w14:paraId="02C2429E">
            <w:pPr>
              <w:jc w:val="both"/>
              <w:rPr>
                <w:color w:val="auto"/>
                <w:sz w:val="24"/>
                <w:szCs w:val="24"/>
              </w:rPr>
            </w:pPr>
            <w:r>
              <w:rPr>
                <w:color w:val="auto"/>
                <w:sz w:val="24"/>
                <w:szCs w:val="24"/>
              </w:rPr>
              <w:t>Dự kiến cần bãi bỏ các Điều 108a, 109, 110, 111, 111a, 112, 113</w:t>
            </w:r>
          </w:p>
        </w:tc>
        <w:tc>
          <w:tcPr>
            <w:tcW w:w="1394" w:type="dxa"/>
          </w:tcPr>
          <w:p w14:paraId="06D870E0">
            <w:pPr>
              <w:rPr>
                <w:color w:val="auto"/>
                <w:sz w:val="24"/>
                <w:szCs w:val="24"/>
              </w:rPr>
            </w:pPr>
            <w:r>
              <w:rPr>
                <w:color w:val="auto"/>
                <w:sz w:val="24"/>
                <w:szCs w:val="24"/>
              </w:rPr>
              <w:t>Sửa đổi, bổ sung</w:t>
            </w:r>
          </w:p>
        </w:tc>
        <w:tc>
          <w:tcPr>
            <w:tcW w:w="1275" w:type="dxa"/>
          </w:tcPr>
          <w:p w14:paraId="3FA84ACE">
            <w:pPr>
              <w:jc w:val="center"/>
              <w:rPr>
                <w:color w:val="auto"/>
                <w:sz w:val="24"/>
                <w:szCs w:val="24"/>
              </w:rPr>
            </w:pPr>
            <w:r>
              <w:rPr>
                <w:color w:val="auto"/>
                <w:sz w:val="24"/>
                <w:szCs w:val="24"/>
              </w:rPr>
              <w:t>Tháng 3/2027</w:t>
            </w:r>
          </w:p>
        </w:tc>
        <w:tc>
          <w:tcPr>
            <w:tcW w:w="1245" w:type="dxa"/>
          </w:tcPr>
          <w:p w14:paraId="6F9CC598">
            <w:pPr>
              <w:jc w:val="center"/>
              <w:rPr>
                <w:color w:val="auto"/>
                <w:sz w:val="24"/>
                <w:szCs w:val="24"/>
              </w:rPr>
            </w:pPr>
            <w:r>
              <w:rPr>
                <w:color w:val="auto"/>
                <w:sz w:val="24"/>
                <w:szCs w:val="24"/>
              </w:rPr>
              <w:t>Tiêu chí 4</w:t>
            </w:r>
          </w:p>
        </w:tc>
        <w:tc>
          <w:tcPr>
            <w:tcW w:w="1308" w:type="dxa"/>
            <w:vMerge w:val="continue"/>
          </w:tcPr>
          <w:p w14:paraId="6D297C19">
            <w:pPr>
              <w:widowControl w:val="0"/>
              <w:spacing w:line="276" w:lineRule="auto"/>
              <w:rPr>
                <w:color w:val="auto"/>
                <w:sz w:val="24"/>
                <w:szCs w:val="24"/>
              </w:rPr>
            </w:pPr>
          </w:p>
        </w:tc>
        <w:tc>
          <w:tcPr>
            <w:tcW w:w="2410" w:type="dxa"/>
          </w:tcPr>
          <w:p w14:paraId="3EBAE8D7">
            <w:pPr>
              <w:widowControl w:val="0"/>
              <w:spacing w:line="276" w:lineRule="auto"/>
              <w:jc w:val="both"/>
              <w:rPr>
                <w:color w:val="auto"/>
                <w:sz w:val="24"/>
                <w:szCs w:val="24"/>
              </w:rPr>
            </w:pPr>
            <w:r>
              <w:rPr>
                <w:color w:val="auto"/>
                <w:sz w:val="24"/>
                <w:szCs w:val="24"/>
              </w:rPr>
              <w:t>- Cần làm rõ, hoàn thiện thêm, phân tích cụ thể các quy định cụ thể cần xử lý tại văn bản.</w:t>
            </w:r>
          </w:p>
          <w:p w14:paraId="48982286">
            <w:pPr>
              <w:jc w:val="both"/>
              <w:rPr>
                <w:color w:val="auto"/>
                <w:sz w:val="24"/>
                <w:szCs w:val="24"/>
              </w:rPr>
            </w:pPr>
            <w:r>
              <w:rPr>
                <w:color w:val="auto"/>
                <w:sz w:val="24"/>
                <w:szCs w:val="24"/>
              </w:rPr>
              <w:t>- Chỉnh lý tên văn bản làm căn cứ rà soát cho đầy đủ.</w:t>
            </w:r>
          </w:p>
        </w:tc>
      </w:tr>
      <w:tr w14:paraId="24C290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04" w:type="dxa"/>
          </w:tcPr>
          <w:p w14:paraId="7EAF1BEE">
            <w:pPr>
              <w:numPr>
                <w:ilvl w:val="0"/>
                <w:numId w:val="8"/>
              </w:numPr>
              <w:tabs>
                <w:tab w:val="left" w:pos="425"/>
              </w:tabs>
              <w:jc w:val="center"/>
              <w:rPr>
                <w:color w:val="auto"/>
                <w:sz w:val="24"/>
                <w:szCs w:val="24"/>
              </w:rPr>
            </w:pPr>
          </w:p>
        </w:tc>
        <w:tc>
          <w:tcPr>
            <w:tcW w:w="1843" w:type="dxa"/>
          </w:tcPr>
          <w:p w14:paraId="589D775B">
            <w:pPr>
              <w:jc w:val="both"/>
              <w:rPr>
                <w:color w:val="auto"/>
                <w:sz w:val="24"/>
                <w:szCs w:val="24"/>
              </w:rPr>
            </w:pPr>
            <w:r>
              <w:rPr>
                <w:color w:val="auto"/>
                <w:sz w:val="24"/>
                <w:szCs w:val="24"/>
              </w:rPr>
              <w:t>Thông tư số 35/2025/TT-BKHCN ngày 17/11/2025 của Bộ trưởng Bộ Khoa học và Công nghệ ban hành Quy chế kiểm tra nghiệp vụ đại diện sở hữu công nghiệp và Quy chế kiểm tra nghiệp vụ giám định sở hữu công nghiệp</w:t>
            </w:r>
          </w:p>
        </w:tc>
        <w:tc>
          <w:tcPr>
            <w:tcW w:w="1417" w:type="dxa"/>
          </w:tcPr>
          <w:p w14:paraId="317B41C9">
            <w:pPr>
              <w:jc w:val="both"/>
              <w:rPr>
                <w:color w:val="auto"/>
                <w:sz w:val="24"/>
                <w:szCs w:val="24"/>
              </w:rPr>
            </w:pPr>
            <w:r>
              <w:rPr>
                <w:color w:val="auto"/>
                <w:sz w:val="24"/>
                <w:szCs w:val="24"/>
              </w:rPr>
              <w:t>Cải cách TTHC</w:t>
            </w:r>
          </w:p>
          <w:p w14:paraId="784C9FB5">
            <w:pPr>
              <w:jc w:val="both"/>
              <w:rPr>
                <w:color w:val="auto"/>
                <w:sz w:val="24"/>
                <w:szCs w:val="24"/>
              </w:rPr>
            </w:pPr>
            <w:r>
              <w:rPr>
                <w:color w:val="auto"/>
                <w:sz w:val="24"/>
                <w:szCs w:val="24"/>
              </w:rPr>
              <w:t>Nghị quyết số 66.18/2026/NQ-CP ngày 15/5/2026 của Chính phủ quy định cắt giảm các thủ tục hành chính, điều kiện kinh doanh có liên quan đến giám định sở hữu công nghiệp, quyền đối với giống cây trồng</w:t>
            </w:r>
          </w:p>
        </w:tc>
        <w:tc>
          <w:tcPr>
            <w:tcW w:w="4051" w:type="dxa"/>
          </w:tcPr>
          <w:p w14:paraId="27FBE50A">
            <w:pPr>
              <w:pStyle w:val="15"/>
              <w:spacing w:before="0" w:beforeAutospacing="0" w:after="0" w:afterAutospacing="0"/>
              <w:jc w:val="both"/>
              <w:rPr>
                <w:color w:val="auto"/>
              </w:rPr>
            </w:pPr>
            <w:r>
              <w:rPr>
                <w:color w:val="auto"/>
              </w:rPr>
              <w:t>Sửa đổi, bổ sung tại Điều 1 Thông tư, chỉnh lý tên thông tư, bãi bỏ Phụ lục quy định Quy chế kiểm tra nghiệp vụ giám định sở hữu công nghiệp để phù hợp với Nghị quyết số 66.18/2026/NQ-CP</w:t>
            </w:r>
          </w:p>
        </w:tc>
        <w:tc>
          <w:tcPr>
            <w:tcW w:w="1394" w:type="dxa"/>
          </w:tcPr>
          <w:p w14:paraId="340E9F3A">
            <w:pPr>
              <w:jc w:val="both"/>
              <w:rPr>
                <w:color w:val="auto"/>
                <w:sz w:val="24"/>
                <w:szCs w:val="24"/>
              </w:rPr>
            </w:pPr>
            <w:r>
              <w:rPr>
                <w:color w:val="auto"/>
                <w:sz w:val="24"/>
                <w:szCs w:val="24"/>
              </w:rPr>
              <w:t>Sửa đổi, bổ sung</w:t>
            </w:r>
          </w:p>
        </w:tc>
        <w:tc>
          <w:tcPr>
            <w:tcW w:w="1275" w:type="dxa"/>
          </w:tcPr>
          <w:p w14:paraId="2EB8AA4E">
            <w:pPr>
              <w:jc w:val="center"/>
              <w:rPr>
                <w:color w:val="auto"/>
                <w:sz w:val="24"/>
                <w:szCs w:val="24"/>
              </w:rPr>
            </w:pPr>
            <w:r>
              <w:rPr>
                <w:color w:val="auto"/>
                <w:sz w:val="24"/>
                <w:szCs w:val="24"/>
              </w:rPr>
              <w:t>Tháng 3/2027</w:t>
            </w:r>
          </w:p>
        </w:tc>
        <w:tc>
          <w:tcPr>
            <w:tcW w:w="1245" w:type="dxa"/>
          </w:tcPr>
          <w:p w14:paraId="458602C3">
            <w:pPr>
              <w:jc w:val="center"/>
              <w:rPr>
                <w:color w:val="auto"/>
                <w:sz w:val="24"/>
                <w:szCs w:val="24"/>
              </w:rPr>
            </w:pPr>
            <w:r>
              <w:rPr>
                <w:color w:val="auto"/>
                <w:sz w:val="24"/>
                <w:szCs w:val="24"/>
              </w:rPr>
              <w:t>Tiêu chí 4</w:t>
            </w:r>
          </w:p>
        </w:tc>
        <w:tc>
          <w:tcPr>
            <w:tcW w:w="1308" w:type="dxa"/>
          </w:tcPr>
          <w:p w14:paraId="167A9317">
            <w:pPr>
              <w:jc w:val="center"/>
              <w:rPr>
                <w:color w:val="auto"/>
                <w:sz w:val="24"/>
                <w:szCs w:val="24"/>
              </w:rPr>
            </w:pPr>
            <w:r>
              <w:rPr>
                <w:color w:val="auto"/>
                <w:sz w:val="24"/>
                <w:szCs w:val="24"/>
              </w:rPr>
              <w:t xml:space="preserve">Đã cập nhật theo ý kiến thẩm định  </w:t>
            </w:r>
          </w:p>
        </w:tc>
        <w:tc>
          <w:tcPr>
            <w:tcW w:w="2410" w:type="dxa"/>
          </w:tcPr>
          <w:p w14:paraId="052E9FB2">
            <w:pPr>
              <w:ind w:firstLine="284"/>
              <w:jc w:val="both"/>
              <w:rPr>
                <w:color w:val="auto"/>
                <w:sz w:val="24"/>
                <w:szCs w:val="24"/>
              </w:rPr>
            </w:pPr>
            <w:r>
              <w:rPr>
                <w:color w:val="auto"/>
                <w:sz w:val="24"/>
                <w:szCs w:val="24"/>
              </w:rPr>
              <w:t>- Chỉnh lý tên văn bản được rà soát cho đầy đủ;</w:t>
            </w:r>
          </w:p>
          <w:p w14:paraId="31270931">
            <w:pPr>
              <w:ind w:firstLine="284"/>
              <w:jc w:val="both"/>
              <w:rPr>
                <w:color w:val="auto"/>
                <w:sz w:val="24"/>
                <w:szCs w:val="24"/>
              </w:rPr>
            </w:pPr>
            <w:r>
              <w:rPr>
                <w:color w:val="auto"/>
                <w:sz w:val="24"/>
                <w:szCs w:val="24"/>
              </w:rPr>
              <w:t>- Cần làm rõ, hoàn thiện thêm, phân tích cụ thể các quy định cụ thể cần xử lý tại văn bản</w:t>
            </w:r>
          </w:p>
        </w:tc>
      </w:tr>
      <w:tr w14:paraId="1623FD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30" w:hRule="atLeast"/>
          <w:jc w:val="center"/>
        </w:trPr>
        <w:tc>
          <w:tcPr>
            <w:tcW w:w="704" w:type="dxa"/>
            <w:vMerge w:val="restart"/>
          </w:tcPr>
          <w:p w14:paraId="62D5C624">
            <w:pPr>
              <w:numPr>
                <w:ilvl w:val="0"/>
                <w:numId w:val="8"/>
              </w:numPr>
              <w:tabs>
                <w:tab w:val="left" w:pos="425"/>
              </w:tabs>
              <w:jc w:val="center"/>
              <w:rPr>
                <w:color w:val="auto"/>
                <w:sz w:val="24"/>
                <w:szCs w:val="24"/>
              </w:rPr>
            </w:pPr>
          </w:p>
        </w:tc>
        <w:tc>
          <w:tcPr>
            <w:tcW w:w="1843" w:type="dxa"/>
            <w:vMerge w:val="restart"/>
          </w:tcPr>
          <w:p w14:paraId="2A724986">
            <w:pPr>
              <w:ind w:right="34"/>
              <w:jc w:val="both"/>
              <w:rPr>
                <w:color w:val="auto"/>
                <w:sz w:val="24"/>
                <w:szCs w:val="24"/>
              </w:rPr>
            </w:pPr>
            <w:r>
              <w:rPr>
                <w:color w:val="auto"/>
                <w:sz w:val="24"/>
                <w:szCs w:val="24"/>
              </w:rPr>
              <w:t>Thông tư số 10/2026/TT-BKHCN ngày 31/3/2026 của Bộ trưởng Bộ Khoa học và Công nghệ quy định chi tiết một số điều và biện pháp thi hành Luật Sở hữu trí tuệ, Nghị định số 65/2023/NĐ-CP, được sửa đổi, bổ sung bởi Nghị định số 15/2026/NĐ-CP, Nghị định số 33/2026/NĐ-CP và Nghị định số 100/2026/NĐ -CP</w:t>
            </w:r>
          </w:p>
        </w:tc>
        <w:tc>
          <w:tcPr>
            <w:tcW w:w="1417" w:type="dxa"/>
          </w:tcPr>
          <w:p w14:paraId="4601C523">
            <w:pPr>
              <w:jc w:val="both"/>
              <w:rPr>
                <w:color w:val="auto"/>
                <w:sz w:val="24"/>
                <w:szCs w:val="24"/>
              </w:rPr>
            </w:pPr>
            <w:r>
              <w:rPr>
                <w:color w:val="auto"/>
                <w:sz w:val="24"/>
                <w:szCs w:val="24"/>
              </w:rPr>
              <w:t>Luật SHTT</w:t>
            </w:r>
          </w:p>
        </w:tc>
        <w:tc>
          <w:tcPr>
            <w:tcW w:w="4051" w:type="dxa"/>
          </w:tcPr>
          <w:p w14:paraId="456E48A8">
            <w:pPr>
              <w:jc w:val="both"/>
              <w:rPr>
                <w:color w:val="auto"/>
                <w:sz w:val="24"/>
                <w:szCs w:val="24"/>
              </w:rPr>
            </w:pPr>
            <w:r>
              <w:rPr>
                <w:color w:val="auto"/>
                <w:sz w:val="24"/>
                <w:szCs w:val="24"/>
              </w:rPr>
              <w:t xml:space="preserve">- Điều 58 của Luật SHTT quy định: Sáng chế được bảo hộ dưới hình thức cấp Bằng độc quyền giải pháp hữu ích nếu không phải là hiểu biết thông thường và đáp ứng các điều kiện sau đây: </w:t>
            </w:r>
          </w:p>
          <w:p w14:paraId="181452B7">
            <w:pPr>
              <w:jc w:val="both"/>
              <w:rPr>
                <w:color w:val="auto"/>
                <w:sz w:val="24"/>
                <w:szCs w:val="24"/>
              </w:rPr>
            </w:pPr>
            <w:r>
              <w:rPr>
                <w:color w:val="auto"/>
                <w:sz w:val="24"/>
                <w:szCs w:val="24"/>
              </w:rPr>
              <w:t xml:space="preserve">a) Có tính mới; </w:t>
            </w:r>
          </w:p>
          <w:p w14:paraId="3F48E1CB">
            <w:pPr>
              <w:jc w:val="both"/>
              <w:rPr>
                <w:color w:val="auto"/>
                <w:sz w:val="24"/>
                <w:szCs w:val="24"/>
              </w:rPr>
            </w:pPr>
            <w:r>
              <w:rPr>
                <w:color w:val="auto"/>
                <w:sz w:val="24"/>
                <w:szCs w:val="24"/>
              </w:rPr>
              <w:t xml:space="preserve">b) Có khả năng áp dụng công nghiệp. Tuy nhiên, trong Điều 21 của Thông tư chưa hướng dẫn rõ như thế nào được coi là hiểu biết thông thường, do đó có nhiều cách hiểu khác nhau, không hợp lý, không khả thi, gây khó khăn trong áp dụng, thực thi. </w:t>
            </w:r>
          </w:p>
        </w:tc>
        <w:tc>
          <w:tcPr>
            <w:tcW w:w="1394" w:type="dxa"/>
          </w:tcPr>
          <w:p w14:paraId="4DFA2F1D">
            <w:pPr>
              <w:jc w:val="both"/>
              <w:rPr>
                <w:color w:val="auto"/>
                <w:sz w:val="24"/>
                <w:szCs w:val="24"/>
              </w:rPr>
            </w:pPr>
            <w:r>
              <w:rPr>
                <w:color w:val="auto"/>
                <w:sz w:val="24"/>
                <w:szCs w:val="24"/>
              </w:rPr>
              <w:t>Sửa đổi, bổ sung</w:t>
            </w:r>
          </w:p>
        </w:tc>
        <w:tc>
          <w:tcPr>
            <w:tcW w:w="1275" w:type="dxa"/>
          </w:tcPr>
          <w:p w14:paraId="7A234B87">
            <w:pPr>
              <w:jc w:val="center"/>
              <w:rPr>
                <w:color w:val="auto"/>
                <w:sz w:val="24"/>
                <w:szCs w:val="24"/>
              </w:rPr>
            </w:pPr>
            <w:r>
              <w:rPr>
                <w:rFonts w:hint="default"/>
                <w:color w:val="auto"/>
                <w:sz w:val="24"/>
                <w:szCs w:val="24"/>
                <w:lang w:val="en-US"/>
              </w:rPr>
              <w:t>Tháng 12/</w:t>
            </w:r>
            <w:r>
              <w:rPr>
                <w:color w:val="auto"/>
                <w:sz w:val="24"/>
                <w:szCs w:val="24"/>
              </w:rPr>
              <w:t>2026</w:t>
            </w:r>
          </w:p>
        </w:tc>
        <w:tc>
          <w:tcPr>
            <w:tcW w:w="1245" w:type="dxa"/>
          </w:tcPr>
          <w:p w14:paraId="5BF48EC9">
            <w:pPr>
              <w:jc w:val="center"/>
              <w:rPr>
                <w:color w:val="auto"/>
                <w:sz w:val="24"/>
                <w:szCs w:val="24"/>
              </w:rPr>
            </w:pPr>
            <w:r>
              <w:rPr>
                <w:color w:val="auto"/>
                <w:sz w:val="24"/>
                <w:szCs w:val="24"/>
              </w:rPr>
              <w:t>Tiêu chí 5</w:t>
            </w:r>
          </w:p>
        </w:tc>
        <w:tc>
          <w:tcPr>
            <w:tcW w:w="1308" w:type="dxa"/>
            <w:vMerge w:val="restart"/>
          </w:tcPr>
          <w:p w14:paraId="0983DDC2">
            <w:pPr>
              <w:jc w:val="center"/>
              <w:rPr>
                <w:color w:val="auto"/>
                <w:sz w:val="24"/>
                <w:szCs w:val="24"/>
              </w:rPr>
            </w:pPr>
            <w:r>
              <w:rPr>
                <w:color w:val="auto"/>
                <w:sz w:val="24"/>
                <w:szCs w:val="24"/>
              </w:rPr>
              <w:t xml:space="preserve">Đã cập nhật theo ý kiến thẩm định  </w:t>
            </w:r>
          </w:p>
        </w:tc>
        <w:tc>
          <w:tcPr>
            <w:tcW w:w="2410" w:type="dxa"/>
          </w:tcPr>
          <w:p w14:paraId="1A297737">
            <w:pPr>
              <w:ind w:firstLine="284"/>
              <w:jc w:val="both"/>
              <w:rPr>
                <w:color w:val="auto"/>
                <w:sz w:val="24"/>
                <w:szCs w:val="24"/>
              </w:rPr>
            </w:pPr>
            <w:r>
              <w:rPr>
                <w:color w:val="auto"/>
                <w:sz w:val="24"/>
                <w:szCs w:val="24"/>
              </w:rPr>
              <w:t>- Nhất trí.</w:t>
            </w:r>
          </w:p>
          <w:p w14:paraId="13C33459">
            <w:pPr>
              <w:ind w:firstLine="284"/>
              <w:jc w:val="both"/>
              <w:rPr>
                <w:color w:val="auto"/>
                <w:sz w:val="24"/>
                <w:szCs w:val="24"/>
              </w:rPr>
            </w:pPr>
            <w:r>
              <w:rPr>
                <w:color w:val="auto"/>
                <w:sz w:val="24"/>
                <w:szCs w:val="24"/>
              </w:rPr>
              <w:t>- Chỉnh lý tên văn bản được rà soát cho đầy đủ;</w:t>
            </w:r>
          </w:p>
          <w:p w14:paraId="51973E08">
            <w:pPr>
              <w:ind w:firstLine="284"/>
              <w:jc w:val="both"/>
              <w:rPr>
                <w:color w:val="auto"/>
                <w:sz w:val="24"/>
                <w:szCs w:val="24"/>
              </w:rPr>
            </w:pPr>
          </w:p>
          <w:p w14:paraId="31785B39">
            <w:pPr>
              <w:ind w:firstLine="284"/>
              <w:jc w:val="both"/>
              <w:rPr>
                <w:color w:val="auto"/>
                <w:sz w:val="24"/>
                <w:szCs w:val="24"/>
              </w:rPr>
            </w:pPr>
          </w:p>
        </w:tc>
      </w:tr>
      <w:tr w14:paraId="2B63B5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5" w:hRule="atLeast"/>
          <w:jc w:val="center"/>
        </w:trPr>
        <w:tc>
          <w:tcPr>
            <w:tcW w:w="704" w:type="dxa"/>
            <w:vMerge w:val="continue"/>
          </w:tcPr>
          <w:p w14:paraId="53E60D33">
            <w:pPr>
              <w:widowControl w:val="0"/>
              <w:spacing w:line="276" w:lineRule="auto"/>
              <w:rPr>
                <w:color w:val="auto"/>
                <w:sz w:val="24"/>
                <w:szCs w:val="24"/>
              </w:rPr>
            </w:pPr>
          </w:p>
        </w:tc>
        <w:tc>
          <w:tcPr>
            <w:tcW w:w="1843" w:type="dxa"/>
            <w:vMerge w:val="continue"/>
          </w:tcPr>
          <w:p w14:paraId="3D53D10C">
            <w:pPr>
              <w:widowControl w:val="0"/>
              <w:spacing w:line="276" w:lineRule="auto"/>
              <w:rPr>
                <w:color w:val="auto"/>
                <w:sz w:val="24"/>
                <w:szCs w:val="24"/>
              </w:rPr>
            </w:pPr>
          </w:p>
        </w:tc>
        <w:tc>
          <w:tcPr>
            <w:tcW w:w="1417" w:type="dxa"/>
          </w:tcPr>
          <w:p w14:paraId="0DF4E373">
            <w:pPr>
              <w:jc w:val="both"/>
              <w:rPr>
                <w:color w:val="auto"/>
                <w:sz w:val="24"/>
                <w:szCs w:val="24"/>
              </w:rPr>
            </w:pPr>
            <w:r>
              <w:rPr>
                <w:color w:val="auto"/>
                <w:sz w:val="24"/>
                <w:szCs w:val="24"/>
              </w:rPr>
              <w:t>Luật SHTT</w:t>
            </w:r>
          </w:p>
        </w:tc>
        <w:tc>
          <w:tcPr>
            <w:tcW w:w="4051" w:type="dxa"/>
          </w:tcPr>
          <w:p w14:paraId="3E5BF0BD">
            <w:pPr>
              <w:jc w:val="both"/>
              <w:rPr>
                <w:color w:val="auto"/>
                <w:sz w:val="24"/>
                <w:szCs w:val="24"/>
              </w:rPr>
            </w:pPr>
            <w:r>
              <w:rPr>
                <w:color w:val="auto"/>
                <w:sz w:val="24"/>
                <w:szCs w:val="24"/>
              </w:rPr>
              <w:t xml:space="preserve">Khoản 7 và 8 Điều này quy định việc thu hồi quyết định cấp VBBH như sau: </w:t>
            </w:r>
          </w:p>
          <w:p w14:paraId="2A321D07">
            <w:pPr>
              <w:jc w:val="both"/>
              <w:rPr>
                <w:color w:val="auto"/>
                <w:sz w:val="24"/>
                <w:szCs w:val="24"/>
              </w:rPr>
            </w:pPr>
            <w:r>
              <w:rPr>
                <w:color w:val="auto"/>
                <w:sz w:val="24"/>
                <w:szCs w:val="24"/>
              </w:rPr>
              <w:t xml:space="preserve">“7. Người nộp đơn chịu trách nhiệm đối với thông tin khai trong đơn. Trường hợp có căn cứ để xác định thông tin trong đơn là không chính xác, không trung thực, cơ quan nhà nước đã cấp văn bằng bảo hộ có thẩm quyền thu hồi quyết định cấp văn bằng bảo hộ đó. </w:t>
            </w:r>
          </w:p>
          <w:p w14:paraId="09966114">
            <w:pPr>
              <w:jc w:val="both"/>
              <w:rPr>
                <w:color w:val="auto"/>
                <w:sz w:val="24"/>
                <w:szCs w:val="24"/>
              </w:rPr>
            </w:pPr>
            <w:r>
              <w:rPr>
                <w:color w:val="auto"/>
                <w:sz w:val="24"/>
                <w:szCs w:val="24"/>
              </w:rPr>
              <w:t xml:space="preserve">8. Bộ trưởng Bộ Khoa học và Công nghệ quy định chi tiết Điều này.”. </w:t>
            </w:r>
          </w:p>
          <w:p w14:paraId="6055317F">
            <w:pPr>
              <w:jc w:val="both"/>
              <w:rPr>
                <w:color w:val="auto"/>
                <w:sz w:val="24"/>
                <w:szCs w:val="24"/>
              </w:rPr>
            </w:pPr>
            <w:bookmarkStart w:id="7" w:name="_heading=h.z5ddywrwlisf" w:colFirst="0" w:colLast="0"/>
            <w:bookmarkEnd w:id="7"/>
            <w:r>
              <w:rPr>
                <w:color w:val="auto"/>
                <w:sz w:val="24"/>
                <w:szCs w:val="24"/>
              </w:rPr>
              <w:t>Tuy nhiên, Thông tư 10 chưa có quy định về việc thu hồi này (bản gốc VBBH thì sao? có thu hồi không? hay chỉ thu hồi quyết định?)</w:t>
            </w:r>
          </w:p>
        </w:tc>
        <w:tc>
          <w:tcPr>
            <w:tcW w:w="1394" w:type="dxa"/>
          </w:tcPr>
          <w:p w14:paraId="7609DB8D">
            <w:pPr>
              <w:jc w:val="both"/>
              <w:rPr>
                <w:color w:val="auto"/>
                <w:sz w:val="24"/>
                <w:szCs w:val="24"/>
              </w:rPr>
            </w:pPr>
            <w:r>
              <w:rPr>
                <w:color w:val="auto"/>
                <w:sz w:val="24"/>
                <w:szCs w:val="24"/>
              </w:rPr>
              <w:t>Sửa đổi, bổ sung</w:t>
            </w:r>
          </w:p>
        </w:tc>
        <w:tc>
          <w:tcPr>
            <w:tcW w:w="1275" w:type="dxa"/>
          </w:tcPr>
          <w:p w14:paraId="4F761D4B">
            <w:pPr>
              <w:jc w:val="center"/>
              <w:rPr>
                <w:color w:val="auto"/>
                <w:sz w:val="24"/>
                <w:szCs w:val="24"/>
              </w:rPr>
            </w:pPr>
            <w:r>
              <w:rPr>
                <w:rFonts w:hint="default"/>
                <w:color w:val="auto"/>
                <w:sz w:val="24"/>
                <w:szCs w:val="24"/>
                <w:lang w:val="en-US"/>
              </w:rPr>
              <w:t>Tháng 12/</w:t>
            </w:r>
            <w:r>
              <w:rPr>
                <w:color w:val="auto"/>
                <w:sz w:val="24"/>
                <w:szCs w:val="24"/>
              </w:rPr>
              <w:t>2026</w:t>
            </w:r>
          </w:p>
        </w:tc>
        <w:tc>
          <w:tcPr>
            <w:tcW w:w="1245" w:type="dxa"/>
          </w:tcPr>
          <w:p w14:paraId="7851A260">
            <w:pPr>
              <w:jc w:val="center"/>
              <w:rPr>
                <w:color w:val="auto"/>
                <w:sz w:val="24"/>
                <w:szCs w:val="24"/>
              </w:rPr>
            </w:pPr>
            <w:r>
              <w:rPr>
                <w:color w:val="auto"/>
                <w:sz w:val="24"/>
                <w:szCs w:val="24"/>
              </w:rPr>
              <w:t>Tiêu chí 6</w:t>
            </w:r>
          </w:p>
        </w:tc>
        <w:tc>
          <w:tcPr>
            <w:tcW w:w="1308" w:type="dxa"/>
            <w:vMerge w:val="continue"/>
          </w:tcPr>
          <w:p w14:paraId="0A8EDC0C">
            <w:pPr>
              <w:widowControl w:val="0"/>
              <w:spacing w:line="276" w:lineRule="auto"/>
              <w:rPr>
                <w:color w:val="auto"/>
                <w:sz w:val="24"/>
                <w:szCs w:val="24"/>
              </w:rPr>
            </w:pPr>
          </w:p>
        </w:tc>
        <w:tc>
          <w:tcPr>
            <w:tcW w:w="2410" w:type="dxa"/>
          </w:tcPr>
          <w:p w14:paraId="44D254F4">
            <w:pPr>
              <w:widowControl w:val="0"/>
              <w:spacing w:line="276" w:lineRule="auto"/>
              <w:ind w:firstLine="284"/>
              <w:jc w:val="both"/>
              <w:rPr>
                <w:color w:val="auto"/>
                <w:sz w:val="24"/>
                <w:szCs w:val="24"/>
              </w:rPr>
            </w:pPr>
            <w:r>
              <w:rPr>
                <w:color w:val="auto"/>
                <w:sz w:val="24"/>
                <w:szCs w:val="24"/>
              </w:rPr>
              <w:t>Nhất trí.</w:t>
            </w:r>
          </w:p>
        </w:tc>
      </w:tr>
      <w:tr w14:paraId="393614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3237" w:type="dxa"/>
            <w:gridSpan w:val="8"/>
          </w:tcPr>
          <w:p w14:paraId="2DEA3925">
            <w:pPr>
              <w:pStyle w:val="3"/>
              <w:ind w:firstLine="284"/>
              <w:rPr>
                <w:color w:val="auto"/>
                <w:lang w:val="en-US"/>
              </w:rPr>
            </w:pPr>
            <w:r>
              <w:rPr>
                <w:color w:val="auto"/>
                <w:sz w:val="24"/>
                <w:szCs w:val="24"/>
              </w:rPr>
              <w:t>X. LĨNH VỰC GIAO DỊCH ĐIỆN TỬ</w:t>
            </w:r>
          </w:p>
        </w:tc>
        <w:tc>
          <w:tcPr>
            <w:tcW w:w="2410" w:type="dxa"/>
          </w:tcPr>
          <w:p w14:paraId="32663516">
            <w:pPr>
              <w:pStyle w:val="3"/>
              <w:ind w:firstLine="284"/>
              <w:jc w:val="both"/>
              <w:rPr>
                <w:color w:val="auto"/>
                <w:sz w:val="24"/>
                <w:szCs w:val="24"/>
              </w:rPr>
            </w:pPr>
          </w:p>
        </w:tc>
      </w:tr>
      <w:tr w14:paraId="0F66BE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412" w:hRule="atLeast"/>
          <w:jc w:val="center"/>
        </w:trPr>
        <w:tc>
          <w:tcPr>
            <w:tcW w:w="704" w:type="dxa"/>
          </w:tcPr>
          <w:p w14:paraId="2DAEFB15">
            <w:pPr>
              <w:numPr>
                <w:ilvl w:val="0"/>
                <w:numId w:val="9"/>
              </w:numPr>
              <w:tabs>
                <w:tab w:val="left" w:pos="425"/>
              </w:tabs>
              <w:jc w:val="center"/>
              <w:rPr>
                <w:color w:val="auto"/>
                <w:sz w:val="24"/>
                <w:szCs w:val="24"/>
              </w:rPr>
            </w:pPr>
          </w:p>
        </w:tc>
        <w:tc>
          <w:tcPr>
            <w:tcW w:w="1843" w:type="dxa"/>
          </w:tcPr>
          <w:p w14:paraId="44835589">
            <w:pPr>
              <w:jc w:val="both"/>
              <w:rPr>
                <w:color w:val="auto"/>
                <w:sz w:val="24"/>
                <w:szCs w:val="24"/>
              </w:rPr>
            </w:pPr>
            <w:r>
              <w:rPr>
                <w:color w:val="auto"/>
                <w:sz w:val="24"/>
                <w:szCs w:val="24"/>
              </w:rPr>
              <w:t xml:space="preserve">Luật Giao dịch điện tử năm 2023 </w:t>
            </w:r>
          </w:p>
        </w:tc>
        <w:tc>
          <w:tcPr>
            <w:tcW w:w="1417" w:type="dxa"/>
          </w:tcPr>
          <w:p w14:paraId="12EB53A6">
            <w:pPr>
              <w:jc w:val="both"/>
              <w:rPr>
                <w:color w:val="auto"/>
                <w:sz w:val="24"/>
                <w:szCs w:val="24"/>
              </w:rPr>
            </w:pPr>
            <w:r>
              <w:rPr>
                <w:color w:val="auto"/>
                <w:sz w:val="24"/>
                <w:szCs w:val="24"/>
              </w:rPr>
              <w:t>Cải cách TTHC</w:t>
            </w:r>
          </w:p>
          <w:p w14:paraId="721773A3">
            <w:pPr>
              <w:ind w:firstLine="120" w:firstLineChars="50"/>
              <w:jc w:val="both"/>
              <w:rPr>
                <w:color w:val="auto"/>
                <w:sz w:val="24"/>
                <w:szCs w:val="24"/>
              </w:rPr>
            </w:pPr>
            <w:r>
              <w:rPr>
                <w:rFonts w:hint="default" w:ascii="Times New Roman" w:hAnsi="Times New Roman" w:eastAsia="SimSun" w:cs="Times New Roman"/>
                <w:i w:val="0"/>
                <w:iCs w:val="0"/>
                <w:color w:val="auto"/>
                <w:sz w:val="24"/>
                <w:szCs w:val="24"/>
                <w:u w:val="none"/>
                <w:vertAlign w:val="baseline"/>
              </w:rPr>
              <w:t xml:space="preserve">- Nghị quyết số 66.18/2026/NQ-CP </w:t>
            </w:r>
            <w:r>
              <w:rPr>
                <w:color w:val="auto"/>
                <w:sz w:val="24"/>
                <w:szCs w:val="24"/>
              </w:rPr>
              <w:t xml:space="preserve"> ngày 15/5/2026 của Chính phủ quy định cắt giảm các thủ tục hành chính, điều kiện kinh doanh</w:t>
            </w:r>
            <w:r>
              <w:rPr>
                <w:rFonts w:hint="default"/>
                <w:color w:val="auto"/>
                <w:sz w:val="24"/>
                <w:szCs w:val="24"/>
                <w:lang w:val="en-US"/>
              </w:rPr>
              <w:t xml:space="preserve"> </w:t>
            </w:r>
            <w:r>
              <w:rPr>
                <w:rFonts w:hint="default" w:ascii="Times New Roman" w:hAnsi="Times New Roman" w:eastAsia="SimSun" w:cs="Times New Roman"/>
                <w:i w:val="0"/>
                <w:iCs w:val="0"/>
                <w:color w:val="auto"/>
                <w:sz w:val="24"/>
                <w:szCs w:val="24"/>
                <w:u w:val="none"/>
                <w:vertAlign w:val="baseline"/>
                <w:lang w:val="en-US"/>
              </w:rPr>
              <w:t xml:space="preserve"> </w:t>
            </w:r>
            <w:r>
              <w:rPr>
                <w:rFonts w:hint="default" w:ascii="Times New Roman" w:hAnsi="Times New Roman" w:eastAsia="SimSun" w:cs="Times New Roman"/>
                <w:i w:val="0"/>
                <w:iCs w:val="0"/>
                <w:color w:val="auto"/>
                <w:sz w:val="24"/>
                <w:szCs w:val="24"/>
                <w:u w:val="none"/>
                <w:vertAlign w:val="baseline"/>
              </w:rPr>
              <w:t>(điểm C mục 2 Phụ lục I.3)</w:t>
            </w:r>
          </w:p>
        </w:tc>
        <w:tc>
          <w:tcPr>
            <w:tcW w:w="4051" w:type="dxa"/>
          </w:tcPr>
          <w:p w14:paraId="18139256">
            <w:pPr>
              <w:jc w:val="both"/>
              <w:rPr>
                <w:color w:val="auto"/>
                <w:sz w:val="24"/>
                <w:szCs w:val="24"/>
              </w:rPr>
            </w:pPr>
            <w:r>
              <w:rPr>
                <w:rFonts w:hint="default" w:ascii="Times New Roman" w:hAnsi="Times New Roman" w:eastAsia="SimSun" w:cs="Times New Roman"/>
                <w:i w:val="0"/>
                <w:iCs w:val="0"/>
                <w:color w:val="auto"/>
                <w:sz w:val="24"/>
                <w:szCs w:val="24"/>
                <w:u w:val="none"/>
                <w:vertAlign w:val="baseline"/>
              </w:rPr>
              <w:t xml:space="preserve">Sửa đổi khoản 4 Điều 28 Luật Giao dịch điện tử 2023 theo hướng bãi bỏ 02 thủ tục hành chính: </w:t>
            </w:r>
            <w:r>
              <w:rPr>
                <w:color w:val="auto"/>
                <w:sz w:val="24"/>
                <w:szCs w:val="24"/>
              </w:rPr>
              <w:t xml:space="preserve">Bãi bỏ 02 thủ tục hành chính nhằm hạn chế gây gánh nặng cho doanh nghiệp, bao gồm: </w:t>
            </w:r>
          </w:p>
          <w:p w14:paraId="799B2607">
            <w:pPr>
              <w:jc w:val="both"/>
              <w:rPr>
                <w:color w:val="auto"/>
                <w:sz w:val="24"/>
                <w:szCs w:val="24"/>
              </w:rPr>
            </w:pPr>
            <w:r>
              <w:rPr>
                <w:color w:val="auto"/>
                <w:sz w:val="24"/>
                <w:szCs w:val="24"/>
              </w:rPr>
              <w:t>- Thủ tục thay đổi nội dung giấy phép kinh doanh dịch vụ tin cậy;</w:t>
            </w:r>
          </w:p>
          <w:p w14:paraId="16BFDC11">
            <w:pPr>
              <w:jc w:val="both"/>
              <w:rPr>
                <w:color w:val="auto"/>
                <w:sz w:val="24"/>
                <w:szCs w:val="24"/>
              </w:rPr>
            </w:pPr>
            <w:r>
              <w:rPr>
                <w:color w:val="auto"/>
                <w:sz w:val="24"/>
                <w:szCs w:val="24"/>
              </w:rPr>
              <w:t>- Thủ tục gia hạn giấy phép kinh doanh dịch vụ tin cậy.</w:t>
            </w:r>
          </w:p>
        </w:tc>
        <w:tc>
          <w:tcPr>
            <w:tcW w:w="1394" w:type="dxa"/>
          </w:tcPr>
          <w:p w14:paraId="68794E65">
            <w:pPr>
              <w:jc w:val="both"/>
              <w:rPr>
                <w:rFonts w:hint="default"/>
                <w:strike/>
                <w:dstrike w:val="0"/>
                <w:color w:val="auto"/>
                <w:sz w:val="24"/>
                <w:szCs w:val="24"/>
                <w:lang w:val="en-US"/>
              </w:rPr>
            </w:pPr>
            <w:r>
              <w:rPr>
                <w:rFonts w:hint="default"/>
                <w:strike w:val="0"/>
                <w:dstrike w:val="0"/>
                <w:color w:val="auto"/>
                <w:sz w:val="24"/>
                <w:szCs w:val="24"/>
                <w:lang w:val="en-US"/>
              </w:rPr>
              <w:t>Sửa đổ</w:t>
            </w:r>
            <w:bookmarkStart w:id="8" w:name="_GoBack"/>
            <w:bookmarkEnd w:id="8"/>
            <w:r>
              <w:rPr>
                <w:rFonts w:hint="default"/>
                <w:strike w:val="0"/>
                <w:dstrike w:val="0"/>
                <w:color w:val="auto"/>
                <w:sz w:val="24"/>
                <w:szCs w:val="24"/>
                <w:lang w:val="en-US"/>
              </w:rPr>
              <w:t>i, bổ sung</w:t>
            </w:r>
          </w:p>
        </w:tc>
        <w:tc>
          <w:tcPr>
            <w:tcW w:w="1275" w:type="dxa"/>
          </w:tcPr>
          <w:p w14:paraId="1CDA20FD">
            <w:pPr>
              <w:jc w:val="center"/>
              <w:rPr>
                <w:color w:val="auto"/>
                <w:sz w:val="24"/>
                <w:szCs w:val="24"/>
              </w:rPr>
            </w:pPr>
            <w:r>
              <w:rPr>
                <w:rFonts w:hint="default"/>
                <w:color w:val="auto"/>
                <w:sz w:val="24"/>
                <w:szCs w:val="24"/>
                <w:lang w:val="en-US"/>
              </w:rPr>
              <w:t>Tháng 3/</w:t>
            </w:r>
            <w:r>
              <w:rPr>
                <w:color w:val="auto"/>
                <w:sz w:val="24"/>
                <w:szCs w:val="24"/>
              </w:rPr>
              <w:t>2027</w:t>
            </w:r>
          </w:p>
        </w:tc>
        <w:tc>
          <w:tcPr>
            <w:tcW w:w="1245" w:type="dxa"/>
          </w:tcPr>
          <w:p w14:paraId="5019EF92">
            <w:pPr>
              <w:jc w:val="center"/>
              <w:rPr>
                <w:color w:val="auto"/>
                <w:sz w:val="24"/>
                <w:szCs w:val="24"/>
              </w:rPr>
            </w:pPr>
            <w:r>
              <w:rPr>
                <w:color w:val="auto"/>
                <w:sz w:val="24"/>
                <w:szCs w:val="24"/>
              </w:rPr>
              <w:t>Tiêu chí 4</w:t>
            </w:r>
          </w:p>
        </w:tc>
        <w:tc>
          <w:tcPr>
            <w:tcW w:w="1308" w:type="dxa"/>
          </w:tcPr>
          <w:p w14:paraId="3FBC2A30">
            <w:pPr>
              <w:jc w:val="center"/>
              <w:rPr>
                <w:color w:val="auto"/>
                <w:sz w:val="24"/>
                <w:szCs w:val="24"/>
              </w:rPr>
            </w:pPr>
            <w:r>
              <w:rPr>
                <w:color w:val="auto"/>
                <w:sz w:val="24"/>
                <w:szCs w:val="24"/>
              </w:rPr>
              <w:t xml:space="preserve">Đã cập nhật theo ý kiến thẩm định  </w:t>
            </w:r>
          </w:p>
        </w:tc>
        <w:tc>
          <w:tcPr>
            <w:tcW w:w="2410" w:type="dxa"/>
          </w:tcPr>
          <w:p w14:paraId="1D44135D">
            <w:pPr>
              <w:jc w:val="both"/>
              <w:rPr>
                <w:color w:val="auto"/>
                <w:sz w:val="24"/>
                <w:szCs w:val="24"/>
              </w:rPr>
            </w:pPr>
            <w:r>
              <w:rPr>
                <w:color w:val="auto"/>
                <w:sz w:val="24"/>
                <w:szCs w:val="24"/>
              </w:rPr>
              <w:t>Cần làm rõ, bổ sung thêm nội dung cần xử lý tại văn bản được rà soát.</w:t>
            </w:r>
          </w:p>
        </w:tc>
      </w:tr>
      <w:tr w14:paraId="00FB32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 w:hRule="atLeast"/>
          <w:jc w:val="center"/>
        </w:trPr>
        <w:tc>
          <w:tcPr>
            <w:tcW w:w="704" w:type="dxa"/>
          </w:tcPr>
          <w:p w14:paraId="224946B7">
            <w:pPr>
              <w:numPr>
                <w:ilvl w:val="0"/>
                <w:numId w:val="9"/>
              </w:numPr>
              <w:tabs>
                <w:tab w:val="left" w:pos="425"/>
              </w:tabs>
              <w:jc w:val="center"/>
              <w:rPr>
                <w:color w:val="auto"/>
                <w:sz w:val="24"/>
                <w:szCs w:val="24"/>
              </w:rPr>
            </w:pPr>
          </w:p>
        </w:tc>
        <w:tc>
          <w:tcPr>
            <w:tcW w:w="1843" w:type="dxa"/>
          </w:tcPr>
          <w:p w14:paraId="3CDCDE69">
            <w:pPr>
              <w:jc w:val="both"/>
              <w:rPr>
                <w:rFonts w:hint="default"/>
                <w:color w:val="auto"/>
                <w:sz w:val="24"/>
                <w:szCs w:val="24"/>
                <w:lang w:val="en-US"/>
              </w:rPr>
            </w:pPr>
            <w:r>
              <w:rPr>
                <w:color w:val="auto"/>
                <w:sz w:val="24"/>
                <w:szCs w:val="24"/>
              </w:rPr>
              <w:t xml:space="preserve">Nghị định số 23/2025/NĐ-CP </w:t>
            </w:r>
            <w:r>
              <w:rPr>
                <w:rFonts w:hint="default"/>
                <w:color w:val="auto"/>
                <w:sz w:val="24"/>
                <w:szCs w:val="24"/>
                <w:lang w:val="en-US"/>
              </w:rPr>
              <w:t xml:space="preserve"> ngày 21/02/2025 </w:t>
            </w:r>
            <w:r>
              <w:rPr>
                <w:rFonts w:hint="default" w:ascii="Times New Roman" w:hAnsi="Times New Roman" w:eastAsia="SimSun" w:cs="Times New Roman"/>
                <w:i w:val="0"/>
                <w:iCs w:val="0"/>
                <w:color w:val="auto"/>
                <w:sz w:val="24"/>
                <w:szCs w:val="24"/>
                <w:u w:val="none"/>
                <w:vertAlign w:val="baseline"/>
              </w:rPr>
              <w:t>quy định về chữ ký điện tử và dịch vụ tin cậ</w:t>
            </w:r>
            <w:r>
              <w:rPr>
                <w:rFonts w:hint="default" w:ascii="Times New Roman" w:hAnsi="Times New Roman" w:eastAsia="SimSun" w:cs="Times New Roman"/>
                <w:i w:val="0"/>
                <w:iCs w:val="0"/>
                <w:color w:val="auto"/>
                <w:sz w:val="24"/>
                <w:szCs w:val="24"/>
                <w:u w:val="none"/>
                <w:vertAlign w:val="baseline"/>
                <w:lang w:val="en-US"/>
              </w:rPr>
              <w:t>y</w:t>
            </w:r>
          </w:p>
        </w:tc>
        <w:tc>
          <w:tcPr>
            <w:tcW w:w="1417" w:type="dxa"/>
          </w:tcPr>
          <w:p w14:paraId="41798D16">
            <w:pPr>
              <w:jc w:val="both"/>
              <w:rPr>
                <w:color w:val="auto"/>
                <w:sz w:val="24"/>
                <w:szCs w:val="24"/>
              </w:rPr>
            </w:pPr>
            <w:r>
              <w:rPr>
                <w:color w:val="auto"/>
                <w:sz w:val="24"/>
                <w:szCs w:val="24"/>
              </w:rPr>
              <w:t>Cải cách TTH</w:t>
            </w:r>
            <w:r>
              <w:rPr>
                <w:rFonts w:hint="default"/>
                <w:color w:val="auto"/>
                <w:sz w:val="24"/>
                <w:szCs w:val="24"/>
                <w:lang w:val="en-US"/>
              </w:rPr>
              <w:t>C</w:t>
            </w:r>
            <w:r>
              <w:rPr>
                <w:color w:val="auto"/>
                <w:sz w:val="24"/>
                <w:szCs w:val="24"/>
              </w:rPr>
              <w:t>, Nghị quyết số 66.18/2026/NQ-CP ngày 15/5/2026 của Chính phủ quy định cắt giảm các thủ tục hành chính, điều kiện kinh doanh</w:t>
            </w:r>
          </w:p>
        </w:tc>
        <w:tc>
          <w:tcPr>
            <w:tcW w:w="4051" w:type="dxa"/>
          </w:tcPr>
          <w:p w14:paraId="4DF03EA2">
            <w:pPr>
              <w:jc w:val="both"/>
              <w:rPr>
                <w:rFonts w:hint="default" w:ascii="Times New Roman" w:hAnsi="Times New Roman" w:eastAsia="SimSun" w:cs="Times New Roman"/>
                <w:i w:val="0"/>
                <w:iCs w:val="0"/>
                <w:color w:val="auto"/>
                <w:sz w:val="24"/>
                <w:szCs w:val="24"/>
                <w:u w:val="none"/>
                <w:vertAlign w:val="baseline"/>
              </w:rPr>
            </w:pPr>
            <w:r>
              <w:rPr>
                <w:rFonts w:hint="default" w:ascii="Times New Roman" w:hAnsi="Times New Roman" w:eastAsia="SimSun" w:cs="Times New Roman"/>
                <w:i w:val="0"/>
                <w:iCs w:val="0"/>
                <w:color w:val="auto"/>
                <w:sz w:val="24"/>
                <w:szCs w:val="24"/>
                <w:u w:val="none"/>
                <w:vertAlign w:val="baseline"/>
              </w:rPr>
              <w:t>Sửa đổi Điều 19, Điều 20, Điều 21 Nghị định số 23/2025/NĐ-CP theo hướng bãi bỏ 02 thủ tục hành chính</w:t>
            </w:r>
          </w:p>
          <w:p w14:paraId="005BCD0D">
            <w:pPr>
              <w:jc w:val="both"/>
              <w:rPr>
                <w:color w:val="auto"/>
                <w:sz w:val="24"/>
                <w:szCs w:val="24"/>
              </w:rPr>
            </w:pPr>
            <w:r>
              <w:rPr>
                <w:color w:val="auto"/>
                <w:sz w:val="24"/>
                <w:szCs w:val="24"/>
              </w:rPr>
              <w:t xml:space="preserve">Bãi bỏ 02 thủ tục hành chính nhằm hạn chế gây gánh nặng cho doanh nghiệp, bao gồm: </w:t>
            </w:r>
          </w:p>
          <w:p w14:paraId="7285C4A8">
            <w:pPr>
              <w:jc w:val="both"/>
              <w:rPr>
                <w:color w:val="auto"/>
                <w:sz w:val="24"/>
                <w:szCs w:val="24"/>
              </w:rPr>
            </w:pPr>
            <w:r>
              <w:rPr>
                <w:color w:val="auto"/>
                <w:sz w:val="24"/>
                <w:szCs w:val="24"/>
              </w:rPr>
              <w:t>- Thủ tục thay đổi nội dung giấy phép kinh doanh dịch vụ tin cậy;</w:t>
            </w:r>
          </w:p>
          <w:p w14:paraId="06669BA3">
            <w:pPr>
              <w:jc w:val="both"/>
              <w:rPr>
                <w:color w:val="auto"/>
                <w:sz w:val="24"/>
                <w:szCs w:val="24"/>
              </w:rPr>
            </w:pPr>
            <w:r>
              <w:rPr>
                <w:color w:val="auto"/>
                <w:sz w:val="24"/>
                <w:szCs w:val="24"/>
              </w:rPr>
              <w:t>- Thủ tục gia hạn giấy phép kinh doanh dịch vụ tin cậy.</w:t>
            </w:r>
          </w:p>
        </w:tc>
        <w:tc>
          <w:tcPr>
            <w:tcW w:w="1394" w:type="dxa"/>
          </w:tcPr>
          <w:p w14:paraId="70C3F973">
            <w:pPr>
              <w:pStyle w:val="15"/>
              <w:keepNext w:val="0"/>
              <w:keepLines w:val="0"/>
              <w:widowControl/>
              <w:suppressLineNumbers w:val="0"/>
              <w:bidi w:val="0"/>
              <w:spacing w:before="0" w:beforeAutospacing="0" w:after="0" w:afterAutospacing="0" w:line="15" w:lineRule="atLeast"/>
              <w:jc w:val="both"/>
              <w:rPr>
                <w:rFonts w:hint="default"/>
                <w:color w:val="auto"/>
                <w:lang w:val="en-US"/>
              </w:rPr>
            </w:pPr>
            <w:r>
              <w:rPr>
                <w:rFonts w:hint="default" w:ascii="Times New Roman" w:hAnsi="Times New Roman" w:cs="Times New Roman"/>
                <w:i w:val="0"/>
                <w:iCs w:val="0"/>
                <w:color w:val="auto"/>
                <w:sz w:val="24"/>
                <w:szCs w:val="24"/>
                <w:u w:val="none"/>
                <w:vertAlign w:val="baseline"/>
              </w:rPr>
              <w:t xml:space="preserve">Nghị định </w:t>
            </w:r>
            <w:r>
              <w:rPr>
                <w:rFonts w:hint="default" w:ascii="Times New Roman" w:hAnsi="Times New Roman" w:cs="Times New Roman"/>
                <w:i w:val="0"/>
                <w:iCs w:val="0"/>
                <w:color w:val="auto"/>
                <w:sz w:val="24"/>
                <w:szCs w:val="24"/>
                <w:u w:val="none"/>
                <w:vertAlign w:val="baseline"/>
                <w:lang w:val="en-US"/>
              </w:rPr>
              <w:t>sửa đổi nhiều nghị định</w:t>
            </w:r>
          </w:p>
          <w:p w14:paraId="0E155B99">
            <w:pPr>
              <w:jc w:val="both"/>
              <w:rPr>
                <w:color w:val="auto"/>
                <w:sz w:val="24"/>
                <w:szCs w:val="24"/>
              </w:rPr>
            </w:pPr>
          </w:p>
        </w:tc>
        <w:tc>
          <w:tcPr>
            <w:tcW w:w="1275" w:type="dxa"/>
          </w:tcPr>
          <w:p w14:paraId="3EDE0FB3">
            <w:pPr>
              <w:jc w:val="center"/>
              <w:rPr>
                <w:color w:val="auto"/>
                <w:sz w:val="24"/>
                <w:szCs w:val="24"/>
              </w:rPr>
            </w:pPr>
            <w:r>
              <w:rPr>
                <w:rFonts w:hint="default"/>
                <w:color w:val="auto"/>
                <w:sz w:val="24"/>
                <w:szCs w:val="24"/>
                <w:lang w:val="en-US"/>
              </w:rPr>
              <w:t>Tháng 3/</w:t>
            </w:r>
            <w:r>
              <w:rPr>
                <w:color w:val="auto"/>
                <w:sz w:val="24"/>
                <w:szCs w:val="24"/>
              </w:rPr>
              <w:t>2027</w:t>
            </w:r>
          </w:p>
        </w:tc>
        <w:tc>
          <w:tcPr>
            <w:tcW w:w="1245" w:type="dxa"/>
          </w:tcPr>
          <w:p w14:paraId="7E8C48FF">
            <w:pPr>
              <w:jc w:val="center"/>
              <w:rPr>
                <w:color w:val="auto"/>
                <w:sz w:val="24"/>
                <w:szCs w:val="24"/>
              </w:rPr>
            </w:pPr>
            <w:r>
              <w:rPr>
                <w:color w:val="auto"/>
                <w:sz w:val="24"/>
                <w:szCs w:val="24"/>
              </w:rPr>
              <w:t>Tiêu chí 4</w:t>
            </w:r>
          </w:p>
        </w:tc>
        <w:tc>
          <w:tcPr>
            <w:tcW w:w="1308" w:type="dxa"/>
          </w:tcPr>
          <w:p w14:paraId="0D1CAF0D">
            <w:pPr>
              <w:jc w:val="center"/>
              <w:rPr>
                <w:strike/>
                <w:dstrike w:val="0"/>
                <w:color w:val="auto"/>
                <w:sz w:val="24"/>
                <w:szCs w:val="24"/>
                <w:lang w:val="vi-VN"/>
              </w:rPr>
            </w:pPr>
            <w:r>
              <w:rPr>
                <w:color w:val="auto"/>
                <w:sz w:val="24"/>
                <w:szCs w:val="24"/>
              </w:rPr>
              <w:t xml:space="preserve">Đã cập nhật theo ý kiến thẩm định  </w:t>
            </w:r>
          </w:p>
        </w:tc>
        <w:tc>
          <w:tcPr>
            <w:tcW w:w="2410" w:type="dxa"/>
          </w:tcPr>
          <w:p w14:paraId="5CA86021">
            <w:pPr>
              <w:widowControl w:val="0"/>
              <w:spacing w:line="276" w:lineRule="auto"/>
              <w:ind w:firstLine="284"/>
              <w:jc w:val="both"/>
              <w:rPr>
                <w:color w:val="auto"/>
                <w:sz w:val="24"/>
                <w:szCs w:val="24"/>
              </w:rPr>
            </w:pPr>
            <w:r>
              <w:rPr>
                <w:color w:val="auto"/>
                <w:sz w:val="24"/>
                <w:szCs w:val="24"/>
              </w:rPr>
              <w:t>- Cần làm rõ, bổ sung thêm nội dung cần xử lý tại văn bản được rà soát.</w:t>
            </w:r>
          </w:p>
          <w:p w14:paraId="0FFEC778">
            <w:pPr>
              <w:ind w:firstLine="284"/>
              <w:jc w:val="both"/>
              <w:rPr>
                <w:color w:val="auto"/>
                <w:sz w:val="24"/>
                <w:szCs w:val="24"/>
                <w:lang w:val="en-US"/>
              </w:rPr>
            </w:pPr>
            <w:r>
              <w:rPr>
                <w:color w:val="auto"/>
                <w:sz w:val="24"/>
                <w:szCs w:val="24"/>
                <w:lang w:val="en-US"/>
              </w:rPr>
              <w:t>- Chỉnh lý tên văn bản làm căn cứ rà soát cho đầy đủ.</w:t>
            </w:r>
          </w:p>
        </w:tc>
      </w:tr>
      <w:tr w14:paraId="23E723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3237" w:type="dxa"/>
            <w:gridSpan w:val="8"/>
          </w:tcPr>
          <w:p w14:paraId="18C5184B">
            <w:pPr>
              <w:spacing w:before="120" w:after="120"/>
              <w:jc w:val="center"/>
              <w:rPr>
                <w:color w:val="auto"/>
                <w:sz w:val="24"/>
                <w:szCs w:val="24"/>
              </w:rPr>
            </w:pPr>
            <w:r>
              <w:rPr>
                <w:b/>
                <w:bCs/>
                <w:color w:val="auto"/>
                <w:sz w:val="24"/>
                <w:szCs w:val="24"/>
              </w:rPr>
              <w:t xml:space="preserve">Tổng số VB đề xuất xử lý: </w:t>
            </w:r>
            <w:r>
              <w:rPr>
                <w:rFonts w:hint="default"/>
                <w:b/>
                <w:bCs/>
                <w:color w:val="auto"/>
                <w:sz w:val="24"/>
                <w:szCs w:val="24"/>
                <w:lang w:val="en-US"/>
              </w:rPr>
              <w:t>8</w:t>
            </w:r>
            <w:r>
              <w:rPr>
                <w:b/>
                <w:bCs/>
                <w:color w:val="auto"/>
                <w:sz w:val="24"/>
                <w:szCs w:val="24"/>
              </w:rPr>
              <w:t>3 văn bản</w:t>
            </w:r>
          </w:p>
        </w:tc>
        <w:tc>
          <w:tcPr>
            <w:tcW w:w="2410" w:type="dxa"/>
          </w:tcPr>
          <w:p w14:paraId="1D256CBD">
            <w:pPr>
              <w:spacing w:before="120" w:after="120"/>
              <w:jc w:val="both"/>
              <w:rPr>
                <w:b/>
                <w:bCs/>
                <w:color w:val="auto"/>
                <w:sz w:val="24"/>
                <w:szCs w:val="24"/>
              </w:rPr>
            </w:pPr>
          </w:p>
        </w:tc>
      </w:tr>
    </w:tbl>
    <w:p w14:paraId="692D395B">
      <w:pPr>
        <w:jc w:val="center"/>
        <w:rPr>
          <w:sz w:val="2"/>
          <w:szCs w:val="2"/>
        </w:rPr>
      </w:pPr>
    </w:p>
    <w:sectPr>
      <w:headerReference r:id="rId3" w:type="default"/>
      <w:footerReference r:id="rId4" w:type="default"/>
      <w:footerReference r:id="rId5" w:type="even"/>
      <w:pgSz w:w="16840" w:h="11907" w:orient="landscape"/>
      <w:pgMar w:top="238" w:right="1134" w:bottom="1135" w:left="1134" w:header="425" w:footer="720" w:gutter="0"/>
      <w:pgNumType w:start="1"/>
      <w:cols w:space="720" w:num="1"/>
      <w:titlePg/>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embedRegular r:id="rId1" w:fontKey="{B02B1922-D1A8-4C87-AD1F-B2B0CDA93067}"/>
  </w:font>
  <w:font w:name="Arial">
    <w:panose1 w:val="020B0604020202020204"/>
    <w:charset w:val="00"/>
    <w:family w:val="swiss"/>
    <w:pitch w:val="default"/>
    <w:sig w:usb0="E0002EFF" w:usb1="C000785B" w:usb2="00000009" w:usb3="00000000" w:csb0="400001FF" w:csb1="FFFF0000"/>
    <w:embedRegular r:id="rId2" w:fontKey="{B97ABDA2-81F7-476A-A1E2-39B378542225}"/>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embedRegular r:id="rId3" w:fontKey="{247F1CA4-45D1-413D-A4E1-29B8838012D9}"/>
  </w:font>
  <w:font w:name="Wingdings">
    <w:panose1 w:val="05000000000000000000"/>
    <w:charset w:val="02"/>
    <w:family w:val="auto"/>
    <w:pitch w:val="default"/>
    <w:sig w:usb0="00000000" w:usb1="00000000" w:usb2="00000000" w:usb3="00000000" w:csb0="80000000" w:csb1="00000000"/>
    <w:embedRegular r:id="rId4" w:fontKey="{C09553FB-EF81-4670-9286-FA9CA2EDE78E}"/>
  </w:font>
  <w:font w:name="Calibri">
    <w:panose1 w:val="020F0502020204030204"/>
    <w:charset w:val="00"/>
    <w:family w:val="swiss"/>
    <w:pitch w:val="default"/>
    <w:sig w:usb0="E4002EFF" w:usb1="C000247B" w:usb2="00000009" w:usb3="00000000" w:csb0="200001FF" w:csb1="00000000"/>
    <w:embedRegular r:id="rId5" w:fontKey="{37A82F46-0319-4358-B163-4ED213410CF3}"/>
  </w:font>
  <w:font w:name="Georgia">
    <w:panose1 w:val="02040502050405020303"/>
    <w:charset w:val="00"/>
    <w:family w:val="roman"/>
    <w:pitch w:val="default"/>
    <w:sig w:usb0="00000287" w:usb1="00000000" w:usb2="00000000" w:usb3="00000000" w:csb0="2000009F" w:csb1="00000000"/>
    <w:embedRegular r:id="rId6" w:fontKey="{03F5FDA7-358D-42BC-AB10-A5FA8D375388}"/>
  </w:font>
  <w:font w:name="Verdana">
    <w:panose1 w:val="020B0604030504040204"/>
    <w:charset w:val="00"/>
    <w:family w:val="swiss"/>
    <w:pitch w:val="default"/>
    <w:sig w:usb0="A00006FF" w:usb1="4000205B" w:usb2="00000010" w:usb3="00000000" w:csb0="2000019F" w:csb1="00000000"/>
    <w:embedRegular r:id="rId7" w:fontKey="{FE0B218B-701D-4D7A-98AC-DF4D0708E1CB}"/>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981C52">
    <w:pPr>
      <w:tabs>
        <w:tab w:val="center" w:pos="4320"/>
        <w:tab w:val="right" w:pos="8640"/>
      </w:tabs>
      <w:ind w:right="360"/>
      <w:rPr>
        <w:color w:val="000000"/>
        <w:sz w:val="24"/>
        <w:szCs w:val="24"/>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AD5744">
    <w:pPr>
      <w:tabs>
        <w:tab w:val="center" w:pos="4320"/>
        <w:tab w:val="right" w:pos="8640"/>
      </w:tabs>
      <w:jc w:val="right"/>
      <w:rPr>
        <w:color w:val="000000"/>
        <w:sz w:val="24"/>
        <w:szCs w:val="24"/>
      </w:rPr>
    </w:pPr>
    <w:r>
      <w:rPr>
        <w:color w:val="000000"/>
        <w:sz w:val="24"/>
        <w:szCs w:val="24"/>
      </w:rPr>
      <w:fldChar w:fldCharType="begin"/>
    </w:r>
    <w:r>
      <w:rPr>
        <w:color w:val="000000"/>
        <w:sz w:val="24"/>
        <w:szCs w:val="24"/>
      </w:rPr>
      <w:instrText xml:space="preserve">PAGE</w:instrText>
    </w:r>
    <w:r>
      <w:rPr>
        <w:color w:val="000000"/>
        <w:sz w:val="24"/>
        <w:szCs w:val="24"/>
      </w:rPr>
      <w:fldChar w:fldCharType="end"/>
    </w:r>
  </w:p>
  <w:p w14:paraId="704A07D6">
    <w:pPr>
      <w:tabs>
        <w:tab w:val="center" w:pos="4320"/>
        <w:tab w:val="right" w:pos="8640"/>
      </w:tabs>
      <w:ind w:right="360"/>
      <w:rPr>
        <w:color w:val="000000"/>
        <w:sz w:val="24"/>
        <w:szCs w:val="24"/>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58BF7B">
    <w:pPr>
      <w:tabs>
        <w:tab w:val="center" w:pos="4513"/>
        <w:tab w:val="right" w:pos="9026"/>
      </w:tabs>
      <w:jc w:val="center"/>
      <w:rPr>
        <w:color w:val="000000"/>
      </w:rPr>
    </w:pPr>
    <w:r>
      <w:rPr>
        <w:color w:val="000000"/>
      </w:rPr>
      <w:fldChar w:fldCharType="begin"/>
    </w:r>
    <w:r>
      <w:rPr>
        <w:color w:val="000000"/>
      </w:rPr>
      <w:instrText xml:space="preserve">PAGE</w:instrText>
    </w:r>
    <w:r>
      <w:rPr>
        <w:color w:val="000000"/>
      </w:rPr>
      <w:fldChar w:fldCharType="separate"/>
    </w:r>
    <w:r>
      <w:rPr>
        <w:color w:val="000000"/>
      </w:rPr>
      <w:t>34</w:t>
    </w:r>
    <w:r>
      <w:rPr>
        <w:color w:val="000000"/>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1A95127"/>
    <w:multiLevelType w:val="multilevel"/>
    <w:tmpl w:val="01A95127"/>
    <w:lvl w:ilvl="0" w:tentative="0">
      <w:start w:val="1"/>
      <w:numFmt w:val="decimal"/>
      <w:lvlText w:val="%1."/>
      <w:lvlJc w:val="left"/>
      <w:pPr>
        <w:ind w:left="720" w:hanging="360"/>
      </w:pPr>
      <w:rPr>
        <w:u w:val="none"/>
      </w:rPr>
    </w:lvl>
    <w:lvl w:ilvl="1" w:tentative="0">
      <w:start w:val="1"/>
      <w:numFmt w:val="lowerLetter"/>
      <w:lvlText w:val="%2."/>
      <w:lvlJc w:val="left"/>
      <w:pPr>
        <w:ind w:left="1440" w:hanging="360"/>
      </w:pPr>
      <w:rPr>
        <w:u w:val="none"/>
      </w:rPr>
    </w:lvl>
    <w:lvl w:ilvl="2" w:tentative="0">
      <w:start w:val="1"/>
      <w:numFmt w:val="lowerRoman"/>
      <w:lvlText w:val="%3."/>
      <w:lvlJc w:val="right"/>
      <w:pPr>
        <w:ind w:left="2160" w:hanging="360"/>
      </w:pPr>
      <w:rPr>
        <w:u w:val="none"/>
      </w:rPr>
    </w:lvl>
    <w:lvl w:ilvl="3" w:tentative="0">
      <w:start w:val="1"/>
      <w:numFmt w:val="decimal"/>
      <w:lvlText w:val="%4."/>
      <w:lvlJc w:val="left"/>
      <w:pPr>
        <w:ind w:left="2880" w:hanging="360"/>
      </w:pPr>
      <w:rPr>
        <w:u w:val="none"/>
      </w:rPr>
    </w:lvl>
    <w:lvl w:ilvl="4" w:tentative="0">
      <w:start w:val="1"/>
      <w:numFmt w:val="lowerLetter"/>
      <w:lvlText w:val="%5."/>
      <w:lvlJc w:val="left"/>
      <w:pPr>
        <w:ind w:left="3600" w:hanging="360"/>
      </w:pPr>
      <w:rPr>
        <w:u w:val="none"/>
      </w:rPr>
    </w:lvl>
    <w:lvl w:ilvl="5" w:tentative="0">
      <w:start w:val="1"/>
      <w:numFmt w:val="lowerRoman"/>
      <w:lvlText w:val="%6."/>
      <w:lvlJc w:val="right"/>
      <w:pPr>
        <w:ind w:left="4320" w:hanging="360"/>
      </w:pPr>
      <w:rPr>
        <w:u w:val="none"/>
      </w:rPr>
    </w:lvl>
    <w:lvl w:ilvl="6" w:tentative="0">
      <w:start w:val="1"/>
      <w:numFmt w:val="decimal"/>
      <w:lvlText w:val="%7."/>
      <w:lvlJc w:val="left"/>
      <w:pPr>
        <w:ind w:left="5040" w:hanging="360"/>
      </w:pPr>
      <w:rPr>
        <w:u w:val="none"/>
      </w:rPr>
    </w:lvl>
    <w:lvl w:ilvl="7" w:tentative="0">
      <w:start w:val="1"/>
      <w:numFmt w:val="lowerLetter"/>
      <w:lvlText w:val="%8."/>
      <w:lvlJc w:val="left"/>
      <w:pPr>
        <w:ind w:left="5760" w:hanging="360"/>
      </w:pPr>
      <w:rPr>
        <w:u w:val="none"/>
      </w:rPr>
    </w:lvl>
    <w:lvl w:ilvl="8" w:tentative="0">
      <w:start w:val="1"/>
      <w:numFmt w:val="lowerRoman"/>
      <w:lvlText w:val="%9."/>
      <w:lvlJc w:val="right"/>
      <w:pPr>
        <w:ind w:left="6480" w:hanging="360"/>
      </w:pPr>
      <w:rPr>
        <w:u w:val="none"/>
      </w:rPr>
    </w:lvl>
  </w:abstractNum>
  <w:abstractNum w:abstractNumId="1">
    <w:nsid w:val="09261753"/>
    <w:multiLevelType w:val="multilevel"/>
    <w:tmpl w:val="09261753"/>
    <w:lvl w:ilvl="0" w:tentative="0">
      <w:start w:val="1"/>
      <w:numFmt w:val="decimal"/>
      <w:lvlText w:val="%1."/>
      <w:lvlJc w:val="left"/>
      <w:pPr>
        <w:ind w:left="720" w:hanging="360"/>
      </w:pPr>
      <w:rPr>
        <w:u w:val="none"/>
      </w:rPr>
    </w:lvl>
    <w:lvl w:ilvl="1" w:tentative="0">
      <w:start w:val="1"/>
      <w:numFmt w:val="lowerLetter"/>
      <w:lvlText w:val="%2."/>
      <w:lvlJc w:val="left"/>
      <w:pPr>
        <w:ind w:left="1440" w:hanging="360"/>
      </w:pPr>
      <w:rPr>
        <w:u w:val="none"/>
      </w:rPr>
    </w:lvl>
    <w:lvl w:ilvl="2" w:tentative="0">
      <w:start w:val="1"/>
      <w:numFmt w:val="lowerRoman"/>
      <w:lvlText w:val="%3."/>
      <w:lvlJc w:val="right"/>
      <w:pPr>
        <w:ind w:left="2160" w:hanging="360"/>
      </w:pPr>
      <w:rPr>
        <w:u w:val="none"/>
      </w:rPr>
    </w:lvl>
    <w:lvl w:ilvl="3" w:tentative="0">
      <w:start w:val="1"/>
      <w:numFmt w:val="decimal"/>
      <w:lvlText w:val="%4."/>
      <w:lvlJc w:val="left"/>
      <w:pPr>
        <w:ind w:left="2880" w:hanging="360"/>
      </w:pPr>
      <w:rPr>
        <w:u w:val="none"/>
      </w:rPr>
    </w:lvl>
    <w:lvl w:ilvl="4" w:tentative="0">
      <w:start w:val="1"/>
      <w:numFmt w:val="lowerLetter"/>
      <w:lvlText w:val="%5."/>
      <w:lvlJc w:val="left"/>
      <w:pPr>
        <w:ind w:left="3600" w:hanging="360"/>
      </w:pPr>
      <w:rPr>
        <w:u w:val="none"/>
      </w:rPr>
    </w:lvl>
    <w:lvl w:ilvl="5" w:tentative="0">
      <w:start w:val="1"/>
      <w:numFmt w:val="lowerRoman"/>
      <w:lvlText w:val="%6."/>
      <w:lvlJc w:val="right"/>
      <w:pPr>
        <w:ind w:left="4320" w:hanging="360"/>
      </w:pPr>
      <w:rPr>
        <w:u w:val="none"/>
      </w:rPr>
    </w:lvl>
    <w:lvl w:ilvl="6" w:tentative="0">
      <w:start w:val="1"/>
      <w:numFmt w:val="decimal"/>
      <w:lvlText w:val="%7."/>
      <w:lvlJc w:val="left"/>
      <w:pPr>
        <w:ind w:left="5040" w:hanging="360"/>
      </w:pPr>
      <w:rPr>
        <w:u w:val="none"/>
      </w:rPr>
    </w:lvl>
    <w:lvl w:ilvl="7" w:tentative="0">
      <w:start w:val="1"/>
      <w:numFmt w:val="lowerLetter"/>
      <w:lvlText w:val="%8."/>
      <w:lvlJc w:val="left"/>
      <w:pPr>
        <w:ind w:left="5760" w:hanging="360"/>
      </w:pPr>
      <w:rPr>
        <w:u w:val="none"/>
      </w:rPr>
    </w:lvl>
    <w:lvl w:ilvl="8" w:tentative="0">
      <w:start w:val="1"/>
      <w:numFmt w:val="lowerRoman"/>
      <w:lvlText w:val="%9."/>
      <w:lvlJc w:val="right"/>
      <w:pPr>
        <w:ind w:left="6480" w:hanging="360"/>
      </w:pPr>
      <w:rPr>
        <w:u w:val="none"/>
      </w:rPr>
    </w:lvl>
  </w:abstractNum>
  <w:abstractNum w:abstractNumId="2">
    <w:nsid w:val="0A841B78"/>
    <w:multiLevelType w:val="multilevel"/>
    <w:tmpl w:val="0A841B78"/>
    <w:lvl w:ilvl="0" w:tentative="0">
      <w:start w:val="1"/>
      <w:numFmt w:val="decimal"/>
      <w:lvlText w:val="%1."/>
      <w:lvlJc w:val="left"/>
      <w:pPr>
        <w:ind w:left="720" w:hanging="360"/>
      </w:pPr>
      <w:rPr>
        <w:u w:val="none"/>
      </w:rPr>
    </w:lvl>
    <w:lvl w:ilvl="1" w:tentative="0">
      <w:start w:val="1"/>
      <w:numFmt w:val="lowerLetter"/>
      <w:lvlText w:val="%2."/>
      <w:lvlJc w:val="left"/>
      <w:pPr>
        <w:ind w:left="1440" w:hanging="360"/>
      </w:pPr>
      <w:rPr>
        <w:u w:val="none"/>
      </w:rPr>
    </w:lvl>
    <w:lvl w:ilvl="2" w:tentative="0">
      <w:start w:val="1"/>
      <w:numFmt w:val="lowerRoman"/>
      <w:lvlText w:val="%3."/>
      <w:lvlJc w:val="right"/>
      <w:pPr>
        <w:ind w:left="2160" w:hanging="360"/>
      </w:pPr>
      <w:rPr>
        <w:u w:val="none"/>
      </w:rPr>
    </w:lvl>
    <w:lvl w:ilvl="3" w:tentative="0">
      <w:start w:val="1"/>
      <w:numFmt w:val="decimal"/>
      <w:lvlText w:val="%4."/>
      <w:lvlJc w:val="left"/>
      <w:pPr>
        <w:ind w:left="2880" w:hanging="360"/>
      </w:pPr>
      <w:rPr>
        <w:u w:val="none"/>
      </w:rPr>
    </w:lvl>
    <w:lvl w:ilvl="4" w:tentative="0">
      <w:start w:val="1"/>
      <w:numFmt w:val="lowerLetter"/>
      <w:lvlText w:val="%5."/>
      <w:lvlJc w:val="left"/>
      <w:pPr>
        <w:ind w:left="3600" w:hanging="360"/>
      </w:pPr>
      <w:rPr>
        <w:u w:val="none"/>
      </w:rPr>
    </w:lvl>
    <w:lvl w:ilvl="5" w:tentative="0">
      <w:start w:val="1"/>
      <w:numFmt w:val="lowerRoman"/>
      <w:lvlText w:val="%6."/>
      <w:lvlJc w:val="right"/>
      <w:pPr>
        <w:ind w:left="4320" w:hanging="360"/>
      </w:pPr>
      <w:rPr>
        <w:u w:val="none"/>
      </w:rPr>
    </w:lvl>
    <w:lvl w:ilvl="6" w:tentative="0">
      <w:start w:val="1"/>
      <w:numFmt w:val="decimal"/>
      <w:lvlText w:val="%7."/>
      <w:lvlJc w:val="left"/>
      <w:pPr>
        <w:ind w:left="5040" w:hanging="360"/>
      </w:pPr>
      <w:rPr>
        <w:u w:val="none"/>
      </w:rPr>
    </w:lvl>
    <w:lvl w:ilvl="7" w:tentative="0">
      <w:start w:val="1"/>
      <w:numFmt w:val="lowerLetter"/>
      <w:lvlText w:val="%8."/>
      <w:lvlJc w:val="left"/>
      <w:pPr>
        <w:ind w:left="5760" w:hanging="360"/>
      </w:pPr>
      <w:rPr>
        <w:u w:val="none"/>
      </w:rPr>
    </w:lvl>
    <w:lvl w:ilvl="8" w:tentative="0">
      <w:start w:val="1"/>
      <w:numFmt w:val="lowerRoman"/>
      <w:lvlText w:val="%9."/>
      <w:lvlJc w:val="right"/>
      <w:pPr>
        <w:ind w:left="6480" w:hanging="360"/>
      </w:pPr>
      <w:rPr>
        <w:u w:val="none"/>
      </w:rPr>
    </w:lvl>
  </w:abstractNum>
  <w:abstractNum w:abstractNumId="3">
    <w:nsid w:val="0D1926AC"/>
    <w:multiLevelType w:val="multilevel"/>
    <w:tmpl w:val="0D1926AC"/>
    <w:lvl w:ilvl="0" w:tentative="0">
      <w:start w:val="1"/>
      <w:numFmt w:val="decimal"/>
      <w:lvlText w:val="%1."/>
      <w:lvlJc w:val="left"/>
      <w:pPr>
        <w:ind w:left="502" w:hanging="360"/>
      </w:pPr>
      <w:rPr>
        <w:u w:val="none"/>
      </w:rPr>
    </w:lvl>
    <w:lvl w:ilvl="1" w:tentative="0">
      <w:start w:val="1"/>
      <w:numFmt w:val="lowerLetter"/>
      <w:lvlText w:val="%2."/>
      <w:lvlJc w:val="left"/>
      <w:pPr>
        <w:ind w:left="1440" w:hanging="360"/>
      </w:pPr>
      <w:rPr>
        <w:u w:val="none"/>
      </w:rPr>
    </w:lvl>
    <w:lvl w:ilvl="2" w:tentative="0">
      <w:start w:val="1"/>
      <w:numFmt w:val="lowerRoman"/>
      <w:lvlText w:val="%3."/>
      <w:lvlJc w:val="right"/>
      <w:pPr>
        <w:ind w:left="2160" w:hanging="360"/>
      </w:pPr>
      <w:rPr>
        <w:u w:val="none"/>
      </w:rPr>
    </w:lvl>
    <w:lvl w:ilvl="3" w:tentative="0">
      <w:start w:val="1"/>
      <w:numFmt w:val="decimal"/>
      <w:lvlText w:val="%4."/>
      <w:lvlJc w:val="left"/>
      <w:pPr>
        <w:ind w:left="2880" w:hanging="360"/>
      </w:pPr>
      <w:rPr>
        <w:u w:val="none"/>
      </w:rPr>
    </w:lvl>
    <w:lvl w:ilvl="4" w:tentative="0">
      <w:start w:val="1"/>
      <w:numFmt w:val="lowerLetter"/>
      <w:lvlText w:val="%5."/>
      <w:lvlJc w:val="left"/>
      <w:pPr>
        <w:ind w:left="3600" w:hanging="360"/>
      </w:pPr>
      <w:rPr>
        <w:u w:val="none"/>
      </w:rPr>
    </w:lvl>
    <w:lvl w:ilvl="5" w:tentative="0">
      <w:start w:val="1"/>
      <w:numFmt w:val="lowerRoman"/>
      <w:lvlText w:val="%6."/>
      <w:lvlJc w:val="right"/>
      <w:pPr>
        <w:ind w:left="4320" w:hanging="360"/>
      </w:pPr>
      <w:rPr>
        <w:u w:val="none"/>
      </w:rPr>
    </w:lvl>
    <w:lvl w:ilvl="6" w:tentative="0">
      <w:start w:val="1"/>
      <w:numFmt w:val="decimal"/>
      <w:lvlText w:val="%7."/>
      <w:lvlJc w:val="left"/>
      <w:pPr>
        <w:ind w:left="5040" w:hanging="360"/>
      </w:pPr>
      <w:rPr>
        <w:u w:val="none"/>
      </w:rPr>
    </w:lvl>
    <w:lvl w:ilvl="7" w:tentative="0">
      <w:start w:val="1"/>
      <w:numFmt w:val="lowerLetter"/>
      <w:lvlText w:val="%8."/>
      <w:lvlJc w:val="left"/>
      <w:pPr>
        <w:ind w:left="5760" w:hanging="360"/>
      </w:pPr>
      <w:rPr>
        <w:u w:val="none"/>
      </w:rPr>
    </w:lvl>
    <w:lvl w:ilvl="8" w:tentative="0">
      <w:start w:val="1"/>
      <w:numFmt w:val="lowerRoman"/>
      <w:lvlText w:val="%9."/>
      <w:lvlJc w:val="right"/>
      <w:pPr>
        <w:ind w:left="6480" w:hanging="360"/>
      </w:pPr>
      <w:rPr>
        <w:u w:val="none"/>
      </w:rPr>
    </w:lvl>
  </w:abstractNum>
  <w:abstractNum w:abstractNumId="4">
    <w:nsid w:val="14CC7FF4"/>
    <w:multiLevelType w:val="multilevel"/>
    <w:tmpl w:val="14CC7FF4"/>
    <w:lvl w:ilvl="0" w:tentative="0">
      <w:start w:val="1"/>
      <w:numFmt w:val="decimal"/>
      <w:lvlText w:val="%1."/>
      <w:lvlJc w:val="left"/>
      <w:pPr>
        <w:ind w:left="501" w:hanging="360"/>
      </w:pPr>
      <w:rPr>
        <w:u w:val="none"/>
      </w:rPr>
    </w:lvl>
    <w:lvl w:ilvl="1" w:tentative="0">
      <w:start w:val="1"/>
      <w:numFmt w:val="lowerLetter"/>
      <w:lvlText w:val="%2."/>
      <w:lvlJc w:val="left"/>
      <w:pPr>
        <w:ind w:left="1440" w:hanging="360"/>
      </w:pPr>
      <w:rPr>
        <w:u w:val="none"/>
      </w:rPr>
    </w:lvl>
    <w:lvl w:ilvl="2" w:tentative="0">
      <w:start w:val="1"/>
      <w:numFmt w:val="lowerRoman"/>
      <w:lvlText w:val="%3."/>
      <w:lvlJc w:val="right"/>
      <w:pPr>
        <w:ind w:left="2160" w:hanging="360"/>
      </w:pPr>
      <w:rPr>
        <w:u w:val="none"/>
      </w:rPr>
    </w:lvl>
    <w:lvl w:ilvl="3" w:tentative="0">
      <w:start w:val="1"/>
      <w:numFmt w:val="decimal"/>
      <w:lvlText w:val="%4."/>
      <w:lvlJc w:val="left"/>
      <w:pPr>
        <w:ind w:left="2880" w:hanging="360"/>
      </w:pPr>
      <w:rPr>
        <w:u w:val="none"/>
      </w:rPr>
    </w:lvl>
    <w:lvl w:ilvl="4" w:tentative="0">
      <w:start w:val="1"/>
      <w:numFmt w:val="lowerLetter"/>
      <w:lvlText w:val="%5."/>
      <w:lvlJc w:val="left"/>
      <w:pPr>
        <w:ind w:left="3600" w:hanging="360"/>
      </w:pPr>
      <w:rPr>
        <w:u w:val="none"/>
      </w:rPr>
    </w:lvl>
    <w:lvl w:ilvl="5" w:tentative="0">
      <w:start w:val="1"/>
      <w:numFmt w:val="lowerRoman"/>
      <w:lvlText w:val="%6."/>
      <w:lvlJc w:val="right"/>
      <w:pPr>
        <w:ind w:left="4320" w:hanging="360"/>
      </w:pPr>
      <w:rPr>
        <w:u w:val="none"/>
      </w:rPr>
    </w:lvl>
    <w:lvl w:ilvl="6" w:tentative="0">
      <w:start w:val="1"/>
      <w:numFmt w:val="decimal"/>
      <w:lvlText w:val="%7."/>
      <w:lvlJc w:val="left"/>
      <w:pPr>
        <w:ind w:left="5040" w:hanging="360"/>
      </w:pPr>
      <w:rPr>
        <w:u w:val="none"/>
      </w:rPr>
    </w:lvl>
    <w:lvl w:ilvl="7" w:tentative="0">
      <w:start w:val="1"/>
      <w:numFmt w:val="lowerLetter"/>
      <w:lvlText w:val="%8."/>
      <w:lvlJc w:val="left"/>
      <w:pPr>
        <w:ind w:left="5760" w:hanging="360"/>
      </w:pPr>
      <w:rPr>
        <w:u w:val="none"/>
      </w:rPr>
    </w:lvl>
    <w:lvl w:ilvl="8" w:tentative="0">
      <w:start w:val="1"/>
      <w:numFmt w:val="lowerRoman"/>
      <w:lvlText w:val="%9."/>
      <w:lvlJc w:val="right"/>
      <w:pPr>
        <w:ind w:left="6480" w:hanging="360"/>
      </w:pPr>
      <w:rPr>
        <w:u w:val="none"/>
      </w:rPr>
    </w:lvl>
  </w:abstractNum>
  <w:abstractNum w:abstractNumId="5">
    <w:nsid w:val="1A8061F4"/>
    <w:multiLevelType w:val="multilevel"/>
    <w:tmpl w:val="1A8061F4"/>
    <w:lvl w:ilvl="0" w:tentative="0">
      <w:start w:val="1"/>
      <w:numFmt w:val="decimal"/>
      <w:lvlText w:val="%1."/>
      <w:lvlJc w:val="left"/>
      <w:pPr>
        <w:ind w:left="720" w:hanging="360"/>
      </w:pPr>
      <w:rPr>
        <w:u w:val="none"/>
      </w:rPr>
    </w:lvl>
    <w:lvl w:ilvl="1" w:tentative="0">
      <w:start w:val="1"/>
      <w:numFmt w:val="lowerLetter"/>
      <w:lvlText w:val="%2."/>
      <w:lvlJc w:val="left"/>
      <w:pPr>
        <w:ind w:left="1440" w:hanging="360"/>
      </w:pPr>
      <w:rPr>
        <w:u w:val="none"/>
      </w:rPr>
    </w:lvl>
    <w:lvl w:ilvl="2" w:tentative="0">
      <w:start w:val="1"/>
      <w:numFmt w:val="lowerRoman"/>
      <w:lvlText w:val="%3."/>
      <w:lvlJc w:val="right"/>
      <w:pPr>
        <w:ind w:left="2160" w:hanging="360"/>
      </w:pPr>
      <w:rPr>
        <w:u w:val="none"/>
      </w:rPr>
    </w:lvl>
    <w:lvl w:ilvl="3" w:tentative="0">
      <w:start w:val="1"/>
      <w:numFmt w:val="decimal"/>
      <w:lvlText w:val="%4."/>
      <w:lvlJc w:val="left"/>
      <w:pPr>
        <w:ind w:left="2880" w:hanging="360"/>
      </w:pPr>
      <w:rPr>
        <w:u w:val="none"/>
      </w:rPr>
    </w:lvl>
    <w:lvl w:ilvl="4" w:tentative="0">
      <w:start w:val="1"/>
      <w:numFmt w:val="lowerLetter"/>
      <w:lvlText w:val="%5."/>
      <w:lvlJc w:val="left"/>
      <w:pPr>
        <w:ind w:left="3600" w:hanging="360"/>
      </w:pPr>
      <w:rPr>
        <w:u w:val="none"/>
      </w:rPr>
    </w:lvl>
    <w:lvl w:ilvl="5" w:tentative="0">
      <w:start w:val="1"/>
      <w:numFmt w:val="lowerRoman"/>
      <w:lvlText w:val="%6."/>
      <w:lvlJc w:val="right"/>
      <w:pPr>
        <w:ind w:left="4320" w:hanging="360"/>
      </w:pPr>
      <w:rPr>
        <w:u w:val="none"/>
      </w:rPr>
    </w:lvl>
    <w:lvl w:ilvl="6" w:tentative="0">
      <w:start w:val="1"/>
      <w:numFmt w:val="decimal"/>
      <w:lvlText w:val="%7."/>
      <w:lvlJc w:val="left"/>
      <w:pPr>
        <w:ind w:left="5040" w:hanging="360"/>
      </w:pPr>
      <w:rPr>
        <w:u w:val="none"/>
      </w:rPr>
    </w:lvl>
    <w:lvl w:ilvl="7" w:tentative="0">
      <w:start w:val="1"/>
      <w:numFmt w:val="lowerLetter"/>
      <w:lvlText w:val="%8."/>
      <w:lvlJc w:val="left"/>
      <w:pPr>
        <w:ind w:left="5760" w:hanging="360"/>
      </w:pPr>
      <w:rPr>
        <w:u w:val="none"/>
      </w:rPr>
    </w:lvl>
    <w:lvl w:ilvl="8" w:tentative="0">
      <w:start w:val="1"/>
      <w:numFmt w:val="lowerRoman"/>
      <w:lvlText w:val="%9."/>
      <w:lvlJc w:val="right"/>
      <w:pPr>
        <w:ind w:left="6480" w:hanging="360"/>
      </w:pPr>
      <w:rPr>
        <w:u w:val="none"/>
      </w:rPr>
    </w:lvl>
  </w:abstractNum>
  <w:abstractNum w:abstractNumId="6">
    <w:nsid w:val="58917A27"/>
    <w:multiLevelType w:val="multilevel"/>
    <w:tmpl w:val="58917A27"/>
    <w:lvl w:ilvl="0" w:tentative="0">
      <w:start w:val="1"/>
      <w:numFmt w:val="decimal"/>
      <w:lvlText w:val="%1."/>
      <w:lvlJc w:val="left"/>
      <w:pPr>
        <w:ind w:left="720" w:hanging="360"/>
      </w:pPr>
      <w:rPr>
        <w:u w:val="none"/>
      </w:rPr>
    </w:lvl>
    <w:lvl w:ilvl="1" w:tentative="0">
      <w:start w:val="1"/>
      <w:numFmt w:val="lowerLetter"/>
      <w:lvlText w:val="%2."/>
      <w:lvlJc w:val="left"/>
      <w:pPr>
        <w:ind w:left="1440" w:hanging="360"/>
      </w:pPr>
      <w:rPr>
        <w:u w:val="none"/>
      </w:rPr>
    </w:lvl>
    <w:lvl w:ilvl="2" w:tentative="0">
      <w:start w:val="1"/>
      <w:numFmt w:val="lowerRoman"/>
      <w:lvlText w:val="%3."/>
      <w:lvlJc w:val="right"/>
      <w:pPr>
        <w:ind w:left="2160" w:hanging="360"/>
      </w:pPr>
      <w:rPr>
        <w:u w:val="none"/>
      </w:rPr>
    </w:lvl>
    <w:lvl w:ilvl="3" w:tentative="0">
      <w:start w:val="1"/>
      <w:numFmt w:val="decimal"/>
      <w:lvlText w:val="%4."/>
      <w:lvlJc w:val="left"/>
      <w:pPr>
        <w:ind w:left="2880" w:hanging="360"/>
      </w:pPr>
      <w:rPr>
        <w:u w:val="none"/>
      </w:rPr>
    </w:lvl>
    <w:lvl w:ilvl="4" w:tentative="0">
      <w:start w:val="1"/>
      <w:numFmt w:val="lowerLetter"/>
      <w:lvlText w:val="%5."/>
      <w:lvlJc w:val="left"/>
      <w:pPr>
        <w:ind w:left="3600" w:hanging="360"/>
      </w:pPr>
      <w:rPr>
        <w:u w:val="none"/>
      </w:rPr>
    </w:lvl>
    <w:lvl w:ilvl="5" w:tentative="0">
      <w:start w:val="1"/>
      <w:numFmt w:val="lowerRoman"/>
      <w:lvlText w:val="%6."/>
      <w:lvlJc w:val="right"/>
      <w:pPr>
        <w:ind w:left="4320" w:hanging="360"/>
      </w:pPr>
      <w:rPr>
        <w:u w:val="none"/>
      </w:rPr>
    </w:lvl>
    <w:lvl w:ilvl="6" w:tentative="0">
      <w:start w:val="1"/>
      <w:numFmt w:val="decimal"/>
      <w:lvlText w:val="%7."/>
      <w:lvlJc w:val="left"/>
      <w:pPr>
        <w:ind w:left="5040" w:hanging="360"/>
      </w:pPr>
      <w:rPr>
        <w:u w:val="none"/>
      </w:rPr>
    </w:lvl>
    <w:lvl w:ilvl="7" w:tentative="0">
      <w:start w:val="1"/>
      <w:numFmt w:val="lowerLetter"/>
      <w:lvlText w:val="%8."/>
      <w:lvlJc w:val="left"/>
      <w:pPr>
        <w:ind w:left="5760" w:hanging="360"/>
      </w:pPr>
      <w:rPr>
        <w:u w:val="none"/>
      </w:rPr>
    </w:lvl>
    <w:lvl w:ilvl="8" w:tentative="0">
      <w:start w:val="1"/>
      <w:numFmt w:val="lowerRoman"/>
      <w:lvlText w:val="%9."/>
      <w:lvlJc w:val="right"/>
      <w:pPr>
        <w:ind w:left="6480" w:hanging="360"/>
      </w:pPr>
      <w:rPr>
        <w:u w:val="none"/>
      </w:rPr>
    </w:lvl>
  </w:abstractNum>
  <w:abstractNum w:abstractNumId="7">
    <w:nsid w:val="592A5A6D"/>
    <w:multiLevelType w:val="multilevel"/>
    <w:tmpl w:val="592A5A6D"/>
    <w:lvl w:ilvl="0" w:tentative="0">
      <w:start w:val="1"/>
      <w:numFmt w:val="decimal"/>
      <w:lvlText w:val="%1."/>
      <w:lvlJc w:val="left"/>
      <w:pPr>
        <w:ind w:left="720" w:hanging="360"/>
      </w:pPr>
      <w:rPr>
        <w:u w:val="none"/>
      </w:rPr>
    </w:lvl>
    <w:lvl w:ilvl="1" w:tentative="0">
      <w:start w:val="1"/>
      <w:numFmt w:val="lowerLetter"/>
      <w:lvlText w:val="%2."/>
      <w:lvlJc w:val="left"/>
      <w:pPr>
        <w:ind w:left="1440" w:hanging="360"/>
      </w:pPr>
      <w:rPr>
        <w:u w:val="none"/>
      </w:rPr>
    </w:lvl>
    <w:lvl w:ilvl="2" w:tentative="0">
      <w:start w:val="1"/>
      <w:numFmt w:val="lowerRoman"/>
      <w:lvlText w:val="%3."/>
      <w:lvlJc w:val="right"/>
      <w:pPr>
        <w:ind w:left="2160" w:hanging="360"/>
      </w:pPr>
      <w:rPr>
        <w:u w:val="none"/>
      </w:rPr>
    </w:lvl>
    <w:lvl w:ilvl="3" w:tentative="0">
      <w:start w:val="1"/>
      <w:numFmt w:val="decimal"/>
      <w:lvlText w:val="%4."/>
      <w:lvlJc w:val="left"/>
      <w:pPr>
        <w:ind w:left="2880" w:hanging="360"/>
      </w:pPr>
      <w:rPr>
        <w:u w:val="none"/>
      </w:rPr>
    </w:lvl>
    <w:lvl w:ilvl="4" w:tentative="0">
      <w:start w:val="1"/>
      <w:numFmt w:val="lowerLetter"/>
      <w:lvlText w:val="%5."/>
      <w:lvlJc w:val="left"/>
      <w:pPr>
        <w:ind w:left="3600" w:hanging="360"/>
      </w:pPr>
      <w:rPr>
        <w:u w:val="none"/>
      </w:rPr>
    </w:lvl>
    <w:lvl w:ilvl="5" w:tentative="0">
      <w:start w:val="1"/>
      <w:numFmt w:val="lowerRoman"/>
      <w:lvlText w:val="%6."/>
      <w:lvlJc w:val="right"/>
      <w:pPr>
        <w:ind w:left="4320" w:hanging="360"/>
      </w:pPr>
      <w:rPr>
        <w:u w:val="none"/>
      </w:rPr>
    </w:lvl>
    <w:lvl w:ilvl="6" w:tentative="0">
      <w:start w:val="1"/>
      <w:numFmt w:val="decimal"/>
      <w:lvlText w:val="%7."/>
      <w:lvlJc w:val="left"/>
      <w:pPr>
        <w:ind w:left="5040" w:hanging="360"/>
      </w:pPr>
      <w:rPr>
        <w:u w:val="none"/>
      </w:rPr>
    </w:lvl>
    <w:lvl w:ilvl="7" w:tentative="0">
      <w:start w:val="1"/>
      <w:numFmt w:val="lowerLetter"/>
      <w:lvlText w:val="%8."/>
      <w:lvlJc w:val="left"/>
      <w:pPr>
        <w:ind w:left="5760" w:hanging="360"/>
      </w:pPr>
      <w:rPr>
        <w:u w:val="none"/>
      </w:rPr>
    </w:lvl>
    <w:lvl w:ilvl="8" w:tentative="0">
      <w:start w:val="1"/>
      <w:numFmt w:val="lowerRoman"/>
      <w:lvlText w:val="%9."/>
      <w:lvlJc w:val="right"/>
      <w:pPr>
        <w:ind w:left="6480" w:hanging="360"/>
      </w:pPr>
      <w:rPr>
        <w:u w:val="none"/>
      </w:rPr>
    </w:lvl>
  </w:abstractNum>
  <w:abstractNum w:abstractNumId="8">
    <w:nsid w:val="79627192"/>
    <w:multiLevelType w:val="multilevel"/>
    <w:tmpl w:val="79627192"/>
    <w:lvl w:ilvl="0" w:tentative="0">
      <w:start w:val="1"/>
      <w:numFmt w:val="decimal"/>
      <w:lvlText w:val="%1."/>
      <w:lvlJc w:val="left"/>
      <w:pPr>
        <w:ind w:left="501" w:hanging="360"/>
      </w:pPr>
      <w:rPr>
        <w:u w:val="none"/>
      </w:rPr>
    </w:lvl>
    <w:lvl w:ilvl="1" w:tentative="0">
      <w:start w:val="1"/>
      <w:numFmt w:val="lowerLetter"/>
      <w:lvlText w:val="%2."/>
      <w:lvlJc w:val="left"/>
      <w:pPr>
        <w:ind w:left="1221" w:hanging="360"/>
      </w:pPr>
      <w:rPr>
        <w:u w:val="none"/>
      </w:rPr>
    </w:lvl>
    <w:lvl w:ilvl="2" w:tentative="0">
      <w:start w:val="1"/>
      <w:numFmt w:val="lowerRoman"/>
      <w:lvlText w:val="%3."/>
      <w:lvlJc w:val="right"/>
      <w:pPr>
        <w:ind w:left="1941" w:hanging="360"/>
      </w:pPr>
      <w:rPr>
        <w:u w:val="none"/>
      </w:rPr>
    </w:lvl>
    <w:lvl w:ilvl="3" w:tentative="0">
      <w:start w:val="1"/>
      <w:numFmt w:val="decimal"/>
      <w:lvlText w:val="%4."/>
      <w:lvlJc w:val="left"/>
      <w:pPr>
        <w:ind w:left="2661" w:hanging="360"/>
      </w:pPr>
      <w:rPr>
        <w:u w:val="none"/>
      </w:rPr>
    </w:lvl>
    <w:lvl w:ilvl="4" w:tentative="0">
      <w:start w:val="1"/>
      <w:numFmt w:val="lowerLetter"/>
      <w:lvlText w:val="%5."/>
      <w:lvlJc w:val="left"/>
      <w:pPr>
        <w:ind w:left="3381" w:hanging="360"/>
      </w:pPr>
      <w:rPr>
        <w:u w:val="none"/>
      </w:rPr>
    </w:lvl>
    <w:lvl w:ilvl="5" w:tentative="0">
      <w:start w:val="1"/>
      <w:numFmt w:val="lowerRoman"/>
      <w:lvlText w:val="%6."/>
      <w:lvlJc w:val="right"/>
      <w:pPr>
        <w:ind w:left="4101" w:hanging="360"/>
      </w:pPr>
      <w:rPr>
        <w:u w:val="none"/>
      </w:rPr>
    </w:lvl>
    <w:lvl w:ilvl="6" w:tentative="0">
      <w:start w:val="1"/>
      <w:numFmt w:val="decimal"/>
      <w:lvlText w:val="%7."/>
      <w:lvlJc w:val="left"/>
      <w:pPr>
        <w:ind w:left="4821" w:hanging="360"/>
      </w:pPr>
      <w:rPr>
        <w:u w:val="none"/>
      </w:rPr>
    </w:lvl>
    <w:lvl w:ilvl="7" w:tentative="0">
      <w:start w:val="1"/>
      <w:numFmt w:val="lowerLetter"/>
      <w:lvlText w:val="%8."/>
      <w:lvlJc w:val="left"/>
      <w:pPr>
        <w:ind w:left="5541" w:hanging="360"/>
      </w:pPr>
      <w:rPr>
        <w:u w:val="none"/>
      </w:rPr>
    </w:lvl>
    <w:lvl w:ilvl="8" w:tentative="0">
      <w:start w:val="1"/>
      <w:numFmt w:val="lowerRoman"/>
      <w:lvlText w:val="%9."/>
      <w:lvlJc w:val="right"/>
      <w:pPr>
        <w:ind w:left="6261" w:hanging="360"/>
      </w:pPr>
      <w:rPr>
        <w:u w:val="none"/>
      </w:rPr>
    </w:lvl>
  </w:abstractNum>
  <w:num w:numId="1">
    <w:abstractNumId w:val="4"/>
  </w:num>
  <w:num w:numId="2">
    <w:abstractNumId w:val="8"/>
  </w:num>
  <w:num w:numId="3">
    <w:abstractNumId w:val="0"/>
  </w:num>
  <w:num w:numId="4">
    <w:abstractNumId w:val="6"/>
  </w:num>
  <w:num w:numId="5">
    <w:abstractNumId w:val="7"/>
  </w:num>
  <w:num w:numId="6">
    <w:abstractNumId w:val="3"/>
  </w:num>
  <w:num w:numId="7">
    <w:abstractNumId w:val="2"/>
  </w:num>
  <w:num w:numId="8">
    <w:abstractNumId w:val="1"/>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3"/>
  <w:embedTrueTypeFonts/>
  <w:bordersDoNotSurroundHeader w:val="0"/>
  <w:bordersDoNotSurroundFooter w:val="0"/>
  <w:documentProtection w:enforcement="0"/>
  <w:defaultTabStop w:val="720"/>
  <w:displayHorizontalDrawingGridEvery w:val="1"/>
  <w:displayVerticalDrawingGridEvery w:val="1"/>
  <w:noPunctuationKerning w:val="1"/>
  <w:characterSpacingControl w:val="doNotCompress"/>
  <w:compat>
    <w:doNotExpandShiftReturn/>
    <w:doNotWrapTextWithPunct/>
    <w:doNotUseEastAsian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E4A3C"/>
    <w:rsid w:val="000007FB"/>
    <w:rsid w:val="000110F7"/>
    <w:rsid w:val="00016251"/>
    <w:rsid w:val="000176BF"/>
    <w:rsid w:val="000244F2"/>
    <w:rsid w:val="000250B2"/>
    <w:rsid w:val="0002571D"/>
    <w:rsid w:val="000305AF"/>
    <w:rsid w:val="00040DE5"/>
    <w:rsid w:val="00042919"/>
    <w:rsid w:val="00051185"/>
    <w:rsid w:val="000611E4"/>
    <w:rsid w:val="00066605"/>
    <w:rsid w:val="00067916"/>
    <w:rsid w:val="00070A9C"/>
    <w:rsid w:val="00080003"/>
    <w:rsid w:val="00080978"/>
    <w:rsid w:val="00085450"/>
    <w:rsid w:val="00090B4B"/>
    <w:rsid w:val="00092F44"/>
    <w:rsid w:val="000A1D87"/>
    <w:rsid w:val="000A7C01"/>
    <w:rsid w:val="000B1D7C"/>
    <w:rsid w:val="000B4B04"/>
    <w:rsid w:val="000B5167"/>
    <w:rsid w:val="000B6569"/>
    <w:rsid w:val="000D3FB9"/>
    <w:rsid w:val="000E051F"/>
    <w:rsid w:val="000F06C7"/>
    <w:rsid w:val="000F6344"/>
    <w:rsid w:val="00102C72"/>
    <w:rsid w:val="001132D7"/>
    <w:rsid w:val="00114937"/>
    <w:rsid w:val="00124CA8"/>
    <w:rsid w:val="001265B1"/>
    <w:rsid w:val="00126D8F"/>
    <w:rsid w:val="00132126"/>
    <w:rsid w:val="00132972"/>
    <w:rsid w:val="00133AAC"/>
    <w:rsid w:val="001415C5"/>
    <w:rsid w:val="00152A76"/>
    <w:rsid w:val="00164B89"/>
    <w:rsid w:val="00164C45"/>
    <w:rsid w:val="00176A17"/>
    <w:rsid w:val="00190CBE"/>
    <w:rsid w:val="00192227"/>
    <w:rsid w:val="00195194"/>
    <w:rsid w:val="00196C2D"/>
    <w:rsid w:val="001A1E83"/>
    <w:rsid w:val="001A53B5"/>
    <w:rsid w:val="001A7FE1"/>
    <w:rsid w:val="001B4F58"/>
    <w:rsid w:val="001B5B58"/>
    <w:rsid w:val="001B5BE2"/>
    <w:rsid w:val="001C2099"/>
    <w:rsid w:val="001C4437"/>
    <w:rsid w:val="001C46CB"/>
    <w:rsid w:val="001D2D4B"/>
    <w:rsid w:val="001D5999"/>
    <w:rsid w:val="001E0653"/>
    <w:rsid w:val="001E0849"/>
    <w:rsid w:val="001E1489"/>
    <w:rsid w:val="001F2BD5"/>
    <w:rsid w:val="001F3240"/>
    <w:rsid w:val="002116C0"/>
    <w:rsid w:val="00222E41"/>
    <w:rsid w:val="00222F0D"/>
    <w:rsid w:val="0023066D"/>
    <w:rsid w:val="00234B42"/>
    <w:rsid w:val="00245F85"/>
    <w:rsid w:val="0025301F"/>
    <w:rsid w:val="00256DA7"/>
    <w:rsid w:val="0026347C"/>
    <w:rsid w:val="00272340"/>
    <w:rsid w:val="002776CF"/>
    <w:rsid w:val="002819E7"/>
    <w:rsid w:val="00287A76"/>
    <w:rsid w:val="00290F5A"/>
    <w:rsid w:val="0029236E"/>
    <w:rsid w:val="002955A5"/>
    <w:rsid w:val="00297C5B"/>
    <w:rsid w:val="002A1523"/>
    <w:rsid w:val="002B4157"/>
    <w:rsid w:val="002B5871"/>
    <w:rsid w:val="002B722F"/>
    <w:rsid w:val="002C5411"/>
    <w:rsid w:val="002E3FAD"/>
    <w:rsid w:val="002E522B"/>
    <w:rsid w:val="00303D47"/>
    <w:rsid w:val="0030407F"/>
    <w:rsid w:val="00313A6A"/>
    <w:rsid w:val="00330AB3"/>
    <w:rsid w:val="00340114"/>
    <w:rsid w:val="00340EA8"/>
    <w:rsid w:val="00341CBB"/>
    <w:rsid w:val="003474B5"/>
    <w:rsid w:val="00351E97"/>
    <w:rsid w:val="00355AE8"/>
    <w:rsid w:val="00376B58"/>
    <w:rsid w:val="003819B4"/>
    <w:rsid w:val="003A36E4"/>
    <w:rsid w:val="003A4537"/>
    <w:rsid w:val="003C06AC"/>
    <w:rsid w:val="003C2ECB"/>
    <w:rsid w:val="003C59E8"/>
    <w:rsid w:val="003C6460"/>
    <w:rsid w:val="003C7BEE"/>
    <w:rsid w:val="003D21C7"/>
    <w:rsid w:val="003F6965"/>
    <w:rsid w:val="004011D6"/>
    <w:rsid w:val="0040604E"/>
    <w:rsid w:val="004320ED"/>
    <w:rsid w:val="004501AA"/>
    <w:rsid w:val="004507EB"/>
    <w:rsid w:val="00457BE2"/>
    <w:rsid w:val="00481159"/>
    <w:rsid w:val="00483AAE"/>
    <w:rsid w:val="0048427B"/>
    <w:rsid w:val="004849C7"/>
    <w:rsid w:val="00484E55"/>
    <w:rsid w:val="004873EB"/>
    <w:rsid w:val="004B3509"/>
    <w:rsid w:val="004C131B"/>
    <w:rsid w:val="004C1780"/>
    <w:rsid w:val="004C532F"/>
    <w:rsid w:val="004D088C"/>
    <w:rsid w:val="004D0B21"/>
    <w:rsid w:val="004D4F84"/>
    <w:rsid w:val="004D5845"/>
    <w:rsid w:val="004E0CC0"/>
    <w:rsid w:val="004E5F05"/>
    <w:rsid w:val="004E7D40"/>
    <w:rsid w:val="00501A0C"/>
    <w:rsid w:val="005024E5"/>
    <w:rsid w:val="0050263A"/>
    <w:rsid w:val="0050564C"/>
    <w:rsid w:val="005440DC"/>
    <w:rsid w:val="00544A62"/>
    <w:rsid w:val="00544C51"/>
    <w:rsid w:val="005458F1"/>
    <w:rsid w:val="00546A78"/>
    <w:rsid w:val="005510DD"/>
    <w:rsid w:val="00551276"/>
    <w:rsid w:val="005542A5"/>
    <w:rsid w:val="00567A09"/>
    <w:rsid w:val="00581A42"/>
    <w:rsid w:val="00592F89"/>
    <w:rsid w:val="0059529D"/>
    <w:rsid w:val="005969C8"/>
    <w:rsid w:val="005A0ADD"/>
    <w:rsid w:val="005B1EB1"/>
    <w:rsid w:val="005B4B20"/>
    <w:rsid w:val="005B5CE6"/>
    <w:rsid w:val="005C014C"/>
    <w:rsid w:val="005C376E"/>
    <w:rsid w:val="005C41AA"/>
    <w:rsid w:val="005F22BE"/>
    <w:rsid w:val="00630E1E"/>
    <w:rsid w:val="00631DCB"/>
    <w:rsid w:val="00633DF6"/>
    <w:rsid w:val="006411D1"/>
    <w:rsid w:val="0064719F"/>
    <w:rsid w:val="00667D0A"/>
    <w:rsid w:val="00677057"/>
    <w:rsid w:val="00680C7B"/>
    <w:rsid w:val="00683A83"/>
    <w:rsid w:val="00694959"/>
    <w:rsid w:val="00694F5E"/>
    <w:rsid w:val="00695342"/>
    <w:rsid w:val="006D0627"/>
    <w:rsid w:val="006E0066"/>
    <w:rsid w:val="006E1905"/>
    <w:rsid w:val="006F4087"/>
    <w:rsid w:val="007007F8"/>
    <w:rsid w:val="007236E9"/>
    <w:rsid w:val="00724E17"/>
    <w:rsid w:val="00725C63"/>
    <w:rsid w:val="00747AEA"/>
    <w:rsid w:val="00752544"/>
    <w:rsid w:val="007606F6"/>
    <w:rsid w:val="007607C2"/>
    <w:rsid w:val="00781951"/>
    <w:rsid w:val="0079301B"/>
    <w:rsid w:val="00795D92"/>
    <w:rsid w:val="007A1506"/>
    <w:rsid w:val="007A6E81"/>
    <w:rsid w:val="007B36BA"/>
    <w:rsid w:val="007B40E0"/>
    <w:rsid w:val="007C4930"/>
    <w:rsid w:val="007D048D"/>
    <w:rsid w:val="007E1899"/>
    <w:rsid w:val="007E6F7E"/>
    <w:rsid w:val="007F07C0"/>
    <w:rsid w:val="007F2C6D"/>
    <w:rsid w:val="00802C6A"/>
    <w:rsid w:val="00805386"/>
    <w:rsid w:val="008102BC"/>
    <w:rsid w:val="00811E1F"/>
    <w:rsid w:val="0082441D"/>
    <w:rsid w:val="008425EF"/>
    <w:rsid w:val="0084396D"/>
    <w:rsid w:val="00847114"/>
    <w:rsid w:val="00851A78"/>
    <w:rsid w:val="00855C03"/>
    <w:rsid w:val="00864556"/>
    <w:rsid w:val="00874592"/>
    <w:rsid w:val="0088620F"/>
    <w:rsid w:val="008932AB"/>
    <w:rsid w:val="008B5C73"/>
    <w:rsid w:val="008C1635"/>
    <w:rsid w:val="008C2BAB"/>
    <w:rsid w:val="008C31D0"/>
    <w:rsid w:val="008C73E5"/>
    <w:rsid w:val="008D2642"/>
    <w:rsid w:val="008D2D5A"/>
    <w:rsid w:val="008E62C6"/>
    <w:rsid w:val="008F2975"/>
    <w:rsid w:val="008F33F2"/>
    <w:rsid w:val="008F4432"/>
    <w:rsid w:val="00933EDD"/>
    <w:rsid w:val="00934807"/>
    <w:rsid w:val="00936C74"/>
    <w:rsid w:val="0094705E"/>
    <w:rsid w:val="0095110B"/>
    <w:rsid w:val="00951CDF"/>
    <w:rsid w:val="00960DFE"/>
    <w:rsid w:val="00974CEE"/>
    <w:rsid w:val="009A0495"/>
    <w:rsid w:val="009B2737"/>
    <w:rsid w:val="009C64CB"/>
    <w:rsid w:val="009C67B3"/>
    <w:rsid w:val="009C6F96"/>
    <w:rsid w:val="009D341B"/>
    <w:rsid w:val="009E0A22"/>
    <w:rsid w:val="009F6961"/>
    <w:rsid w:val="00A006F9"/>
    <w:rsid w:val="00A012EA"/>
    <w:rsid w:val="00A0510A"/>
    <w:rsid w:val="00A13AA8"/>
    <w:rsid w:val="00A14649"/>
    <w:rsid w:val="00A14F90"/>
    <w:rsid w:val="00A15045"/>
    <w:rsid w:val="00A15968"/>
    <w:rsid w:val="00A23FE2"/>
    <w:rsid w:val="00A2414A"/>
    <w:rsid w:val="00A24DF4"/>
    <w:rsid w:val="00A2576C"/>
    <w:rsid w:val="00A32743"/>
    <w:rsid w:val="00A415B7"/>
    <w:rsid w:val="00A525BA"/>
    <w:rsid w:val="00A55F5A"/>
    <w:rsid w:val="00A67DE0"/>
    <w:rsid w:val="00A70D4B"/>
    <w:rsid w:val="00A7755F"/>
    <w:rsid w:val="00A81BE6"/>
    <w:rsid w:val="00A82DCB"/>
    <w:rsid w:val="00A84D90"/>
    <w:rsid w:val="00A92CF8"/>
    <w:rsid w:val="00AA5A12"/>
    <w:rsid w:val="00AB1D5B"/>
    <w:rsid w:val="00AB2E17"/>
    <w:rsid w:val="00AC024F"/>
    <w:rsid w:val="00AC1369"/>
    <w:rsid w:val="00AC4832"/>
    <w:rsid w:val="00AC63CF"/>
    <w:rsid w:val="00AC7A2D"/>
    <w:rsid w:val="00AD03E5"/>
    <w:rsid w:val="00AD0E44"/>
    <w:rsid w:val="00AD281E"/>
    <w:rsid w:val="00AD31AB"/>
    <w:rsid w:val="00AD7634"/>
    <w:rsid w:val="00AE10F2"/>
    <w:rsid w:val="00AE4A3C"/>
    <w:rsid w:val="00AF6B81"/>
    <w:rsid w:val="00B00B7C"/>
    <w:rsid w:val="00B03CBA"/>
    <w:rsid w:val="00B12243"/>
    <w:rsid w:val="00B14C15"/>
    <w:rsid w:val="00B160B0"/>
    <w:rsid w:val="00B2039D"/>
    <w:rsid w:val="00B21401"/>
    <w:rsid w:val="00B35017"/>
    <w:rsid w:val="00B44FAB"/>
    <w:rsid w:val="00B46715"/>
    <w:rsid w:val="00B60BB2"/>
    <w:rsid w:val="00B62ADC"/>
    <w:rsid w:val="00B77CFC"/>
    <w:rsid w:val="00B90963"/>
    <w:rsid w:val="00B919B7"/>
    <w:rsid w:val="00BA56E5"/>
    <w:rsid w:val="00BB38B4"/>
    <w:rsid w:val="00BD471F"/>
    <w:rsid w:val="00BD6F88"/>
    <w:rsid w:val="00BF6F84"/>
    <w:rsid w:val="00C042D7"/>
    <w:rsid w:val="00C05C31"/>
    <w:rsid w:val="00C3379C"/>
    <w:rsid w:val="00C35C76"/>
    <w:rsid w:val="00C37566"/>
    <w:rsid w:val="00C4502E"/>
    <w:rsid w:val="00C57AF9"/>
    <w:rsid w:val="00C63F51"/>
    <w:rsid w:val="00C661E7"/>
    <w:rsid w:val="00C7711F"/>
    <w:rsid w:val="00C92B16"/>
    <w:rsid w:val="00C976AD"/>
    <w:rsid w:val="00CA3F0A"/>
    <w:rsid w:val="00CA483C"/>
    <w:rsid w:val="00CB1BB9"/>
    <w:rsid w:val="00CC689F"/>
    <w:rsid w:val="00CD1EF8"/>
    <w:rsid w:val="00CE266D"/>
    <w:rsid w:val="00CE3A30"/>
    <w:rsid w:val="00CE4735"/>
    <w:rsid w:val="00CE6B74"/>
    <w:rsid w:val="00CF2569"/>
    <w:rsid w:val="00CF6501"/>
    <w:rsid w:val="00CF7B46"/>
    <w:rsid w:val="00D01630"/>
    <w:rsid w:val="00D14BC4"/>
    <w:rsid w:val="00D16A85"/>
    <w:rsid w:val="00D1707C"/>
    <w:rsid w:val="00D20024"/>
    <w:rsid w:val="00D21197"/>
    <w:rsid w:val="00D21B8F"/>
    <w:rsid w:val="00D25E14"/>
    <w:rsid w:val="00D26993"/>
    <w:rsid w:val="00D40958"/>
    <w:rsid w:val="00D50757"/>
    <w:rsid w:val="00D5661C"/>
    <w:rsid w:val="00D64211"/>
    <w:rsid w:val="00D708AD"/>
    <w:rsid w:val="00D71F7B"/>
    <w:rsid w:val="00D80E39"/>
    <w:rsid w:val="00D81508"/>
    <w:rsid w:val="00D8160A"/>
    <w:rsid w:val="00D84267"/>
    <w:rsid w:val="00D85006"/>
    <w:rsid w:val="00D8527F"/>
    <w:rsid w:val="00D85A21"/>
    <w:rsid w:val="00DA2EF8"/>
    <w:rsid w:val="00DA34C3"/>
    <w:rsid w:val="00DA619C"/>
    <w:rsid w:val="00DB7AF0"/>
    <w:rsid w:val="00DC5A4C"/>
    <w:rsid w:val="00DD669F"/>
    <w:rsid w:val="00DD6B83"/>
    <w:rsid w:val="00DE54DE"/>
    <w:rsid w:val="00DF078D"/>
    <w:rsid w:val="00DF193E"/>
    <w:rsid w:val="00DF3250"/>
    <w:rsid w:val="00E00880"/>
    <w:rsid w:val="00E048B4"/>
    <w:rsid w:val="00E07F98"/>
    <w:rsid w:val="00E1023F"/>
    <w:rsid w:val="00E13D0A"/>
    <w:rsid w:val="00E15666"/>
    <w:rsid w:val="00E16D29"/>
    <w:rsid w:val="00E3660D"/>
    <w:rsid w:val="00E41CC1"/>
    <w:rsid w:val="00E47450"/>
    <w:rsid w:val="00E53806"/>
    <w:rsid w:val="00E560B5"/>
    <w:rsid w:val="00E9100F"/>
    <w:rsid w:val="00E91FB7"/>
    <w:rsid w:val="00E94071"/>
    <w:rsid w:val="00E945FC"/>
    <w:rsid w:val="00E94B3D"/>
    <w:rsid w:val="00EA3589"/>
    <w:rsid w:val="00EA4C72"/>
    <w:rsid w:val="00EA6CDD"/>
    <w:rsid w:val="00EA7273"/>
    <w:rsid w:val="00EB39BD"/>
    <w:rsid w:val="00EB4FC3"/>
    <w:rsid w:val="00EC1899"/>
    <w:rsid w:val="00ED14FC"/>
    <w:rsid w:val="00ED1672"/>
    <w:rsid w:val="00ED6135"/>
    <w:rsid w:val="00EE223C"/>
    <w:rsid w:val="00F024D8"/>
    <w:rsid w:val="00F06452"/>
    <w:rsid w:val="00F073A3"/>
    <w:rsid w:val="00F10B85"/>
    <w:rsid w:val="00F21E0A"/>
    <w:rsid w:val="00F24357"/>
    <w:rsid w:val="00F275F0"/>
    <w:rsid w:val="00F40D9C"/>
    <w:rsid w:val="00F4172B"/>
    <w:rsid w:val="00F538F4"/>
    <w:rsid w:val="00F54B6C"/>
    <w:rsid w:val="00F55039"/>
    <w:rsid w:val="00F578DD"/>
    <w:rsid w:val="00F64CCD"/>
    <w:rsid w:val="00F75938"/>
    <w:rsid w:val="00F844D3"/>
    <w:rsid w:val="00F8462D"/>
    <w:rsid w:val="00F8473A"/>
    <w:rsid w:val="00F91AAC"/>
    <w:rsid w:val="00F92D5F"/>
    <w:rsid w:val="00F934C0"/>
    <w:rsid w:val="00F9542F"/>
    <w:rsid w:val="00F97184"/>
    <w:rsid w:val="00FA665D"/>
    <w:rsid w:val="00FB116C"/>
    <w:rsid w:val="00FB6950"/>
    <w:rsid w:val="00FC0D7D"/>
    <w:rsid w:val="00FC270E"/>
    <w:rsid w:val="00FC5F26"/>
    <w:rsid w:val="00FC677A"/>
    <w:rsid w:val="00FD2D22"/>
    <w:rsid w:val="00FD58B7"/>
    <w:rsid w:val="00FE5F01"/>
    <w:rsid w:val="00FF1C6B"/>
    <w:rsid w:val="033152EE"/>
    <w:rsid w:val="105F2387"/>
    <w:rsid w:val="25AD0C5F"/>
    <w:rsid w:val="3A6564AB"/>
    <w:rsid w:val="4C2A7D80"/>
    <w:rsid w:val="5F093FB3"/>
    <w:rsid w:val="6CA46462"/>
    <w:rsid w:val="76DB48C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qFormat="1" w:unhideWhenUsed="0" w:uiPriority="99" w:semiHidden="0"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eastAsia="Times New Roman" w:cs="Times New Roman"/>
      <w:sz w:val="28"/>
      <w:szCs w:val="28"/>
      <w:lang w:val="en" w:eastAsia="en-US" w:bidi="ar-SA"/>
    </w:rPr>
  </w:style>
  <w:style w:type="paragraph" w:styleId="2">
    <w:name w:val="heading 1"/>
    <w:basedOn w:val="1"/>
    <w:next w:val="1"/>
    <w:qFormat/>
    <w:uiPriority w:val="9"/>
    <w:pPr>
      <w:keepNext/>
      <w:spacing w:before="240" w:after="60"/>
      <w:outlineLvl w:val="0"/>
    </w:pPr>
    <w:rPr>
      <w:rFonts w:ascii="Calibri" w:hAnsi="Calibri" w:eastAsia="Calibri" w:cs="Calibri"/>
      <w:b/>
      <w:bCs/>
      <w:sz w:val="32"/>
      <w:szCs w:val="32"/>
    </w:rPr>
  </w:style>
  <w:style w:type="paragraph" w:styleId="3">
    <w:name w:val="heading 2"/>
    <w:basedOn w:val="1"/>
    <w:next w:val="1"/>
    <w:unhideWhenUsed/>
    <w:qFormat/>
    <w:uiPriority w:val="9"/>
    <w:pPr>
      <w:keepNext/>
      <w:keepLines/>
      <w:spacing w:before="360" w:after="80" w:line="360" w:lineRule="auto"/>
      <w:jc w:val="center"/>
      <w:outlineLvl w:val="1"/>
    </w:pPr>
    <w:rPr>
      <w:b/>
      <w:bCs/>
    </w:rPr>
  </w:style>
  <w:style w:type="paragraph" w:styleId="4">
    <w:name w:val="heading 3"/>
    <w:basedOn w:val="1"/>
    <w:next w:val="1"/>
    <w:semiHidden/>
    <w:unhideWhenUsed/>
    <w:qFormat/>
    <w:uiPriority w:val="9"/>
    <w:pPr>
      <w:keepNext/>
      <w:keepLines/>
      <w:spacing w:before="280" w:after="80"/>
      <w:outlineLvl w:val="2"/>
    </w:pPr>
    <w:rPr>
      <w:b/>
      <w:bCs/>
    </w:rPr>
  </w:style>
  <w:style w:type="paragraph" w:styleId="5">
    <w:name w:val="heading 4"/>
    <w:basedOn w:val="1"/>
    <w:next w:val="1"/>
    <w:semiHidden/>
    <w:unhideWhenUsed/>
    <w:qFormat/>
    <w:uiPriority w:val="9"/>
    <w:pPr>
      <w:keepNext/>
      <w:keepLines/>
      <w:spacing w:before="240" w:after="40"/>
      <w:outlineLvl w:val="3"/>
    </w:pPr>
    <w:rPr>
      <w:b/>
      <w:bCs/>
      <w:sz w:val="24"/>
      <w:szCs w:val="24"/>
    </w:rPr>
  </w:style>
  <w:style w:type="paragraph" w:styleId="6">
    <w:name w:val="heading 5"/>
    <w:basedOn w:val="1"/>
    <w:next w:val="1"/>
    <w:semiHidden/>
    <w:unhideWhenUsed/>
    <w:qFormat/>
    <w:uiPriority w:val="9"/>
    <w:pPr>
      <w:keepNext/>
      <w:keepLines/>
      <w:spacing w:before="220" w:after="40"/>
      <w:outlineLvl w:val="4"/>
    </w:pPr>
    <w:rPr>
      <w:b/>
      <w:bCs/>
      <w:sz w:val="22"/>
      <w:szCs w:val="22"/>
    </w:rPr>
  </w:style>
  <w:style w:type="paragraph" w:styleId="7">
    <w:name w:val="heading 6"/>
    <w:basedOn w:val="1"/>
    <w:next w:val="1"/>
    <w:semiHidden/>
    <w:unhideWhenUsed/>
    <w:qFormat/>
    <w:uiPriority w:val="9"/>
    <w:pPr>
      <w:keepNext/>
      <w:keepLines/>
      <w:spacing w:before="200" w:after="40"/>
      <w:outlineLvl w:val="5"/>
    </w:pPr>
    <w:rPr>
      <w:b/>
      <w:bCs/>
      <w:sz w:val="20"/>
      <w:szCs w:val="20"/>
    </w:rPr>
  </w:style>
  <w:style w:type="character" w:default="1" w:styleId="8">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10">
    <w:name w:val="footer"/>
    <w:basedOn w:val="1"/>
    <w:link w:val="21"/>
    <w:unhideWhenUsed/>
    <w:qFormat/>
    <w:uiPriority w:val="99"/>
    <w:pPr>
      <w:tabs>
        <w:tab w:val="center" w:pos="4680"/>
        <w:tab w:val="right" w:pos="9360"/>
      </w:tabs>
    </w:pPr>
  </w:style>
  <w:style w:type="character" w:styleId="11">
    <w:name w:val="footnote reference"/>
    <w:link w:val="12"/>
    <w:qFormat/>
    <w:uiPriority w:val="99"/>
    <w:rPr>
      <w:vertAlign w:val="superscript"/>
    </w:rPr>
  </w:style>
  <w:style w:type="paragraph" w:customStyle="1" w:styleId="12">
    <w:name w:val="Ref Char"/>
    <w:basedOn w:val="1"/>
    <w:link w:val="11"/>
    <w:qFormat/>
    <w:uiPriority w:val="99"/>
    <w:pPr>
      <w:spacing w:after="160" w:line="240" w:lineRule="exact"/>
    </w:pPr>
    <w:rPr>
      <w:vertAlign w:val="superscript"/>
    </w:rPr>
  </w:style>
  <w:style w:type="paragraph" w:styleId="13">
    <w:name w:val="header"/>
    <w:basedOn w:val="1"/>
    <w:link w:val="20"/>
    <w:unhideWhenUsed/>
    <w:qFormat/>
    <w:uiPriority w:val="99"/>
    <w:pPr>
      <w:tabs>
        <w:tab w:val="center" w:pos="4680"/>
        <w:tab w:val="right" w:pos="9360"/>
      </w:tabs>
    </w:pPr>
  </w:style>
  <w:style w:type="character" w:styleId="14">
    <w:name w:val="Hyperlink"/>
    <w:basedOn w:val="8"/>
    <w:semiHidden/>
    <w:unhideWhenUsed/>
    <w:qFormat/>
    <w:uiPriority w:val="99"/>
    <w:rPr>
      <w:color w:val="0000FF"/>
      <w:u w:val="single"/>
    </w:rPr>
  </w:style>
  <w:style w:type="paragraph" w:styleId="15">
    <w:name w:val="Normal (Web)"/>
    <w:basedOn w:val="1"/>
    <w:link w:val="24"/>
    <w:qFormat/>
    <w:uiPriority w:val="99"/>
    <w:pPr>
      <w:spacing w:before="100" w:beforeAutospacing="1" w:after="100" w:afterAutospacing="1"/>
    </w:pPr>
    <w:rPr>
      <w:sz w:val="24"/>
      <w:szCs w:val="24"/>
      <w:lang w:val="en-US"/>
    </w:rPr>
  </w:style>
  <w:style w:type="paragraph" w:styleId="16">
    <w:name w:val="Subtitle"/>
    <w:basedOn w:val="1"/>
    <w:next w:val="1"/>
    <w:qFormat/>
    <w:uiPriority w:val="11"/>
    <w:pPr>
      <w:keepNext/>
      <w:keepLines/>
      <w:spacing w:before="360" w:after="80"/>
    </w:pPr>
    <w:rPr>
      <w:rFonts w:ascii="Georgia" w:hAnsi="Georgia" w:eastAsia="Georgia" w:cs="Georgia"/>
      <w:i/>
      <w:iCs/>
      <w:color w:val="666666"/>
      <w:sz w:val="48"/>
      <w:szCs w:val="48"/>
    </w:rPr>
  </w:style>
  <w:style w:type="paragraph" w:styleId="17">
    <w:name w:val="Title"/>
    <w:basedOn w:val="1"/>
    <w:next w:val="1"/>
    <w:qFormat/>
    <w:uiPriority w:val="10"/>
    <w:pPr>
      <w:keepNext/>
      <w:keepLines/>
      <w:spacing w:before="480" w:after="120"/>
    </w:pPr>
    <w:rPr>
      <w:b/>
      <w:bCs/>
      <w:sz w:val="72"/>
      <w:szCs w:val="72"/>
    </w:rPr>
  </w:style>
  <w:style w:type="table" w:customStyle="1" w:styleId="18">
    <w:name w:val="TableNormal"/>
    <w:qFormat/>
    <w:uiPriority w:val="0"/>
    <w:tblPr>
      <w:tblCellMar>
        <w:top w:w="100" w:type="dxa"/>
        <w:left w:w="100" w:type="dxa"/>
        <w:bottom w:w="100" w:type="dxa"/>
        <w:right w:w="100" w:type="dxa"/>
      </w:tblCellMar>
    </w:tblPr>
  </w:style>
  <w:style w:type="table" w:customStyle="1" w:styleId="19">
    <w:name w:val="_Style 12"/>
    <w:basedOn w:val="18"/>
    <w:qFormat/>
    <w:uiPriority w:val="0"/>
    <w:tblPr>
      <w:tblCellMar>
        <w:top w:w="0" w:type="dxa"/>
        <w:left w:w="108" w:type="dxa"/>
        <w:bottom w:w="0" w:type="dxa"/>
        <w:right w:w="108" w:type="dxa"/>
      </w:tblCellMar>
    </w:tblPr>
  </w:style>
  <w:style w:type="character" w:customStyle="1" w:styleId="20">
    <w:name w:val="Header Char"/>
    <w:basedOn w:val="8"/>
    <w:link w:val="13"/>
    <w:qFormat/>
    <w:uiPriority w:val="99"/>
  </w:style>
  <w:style w:type="character" w:customStyle="1" w:styleId="21">
    <w:name w:val="Footer Char"/>
    <w:basedOn w:val="8"/>
    <w:link w:val="10"/>
    <w:qFormat/>
    <w:uiPriority w:val="99"/>
  </w:style>
  <w:style w:type="paragraph" w:styleId="22">
    <w:name w:val="List Paragraph"/>
    <w:basedOn w:val="1"/>
    <w:qFormat/>
    <w:uiPriority w:val="34"/>
    <w:pPr>
      <w:ind w:left="720"/>
      <w:contextualSpacing/>
    </w:pPr>
  </w:style>
  <w:style w:type="paragraph" w:customStyle="1" w:styleId="23">
    <w:name w:val="Revision1"/>
    <w:hidden/>
    <w:semiHidden/>
    <w:qFormat/>
    <w:uiPriority w:val="99"/>
    <w:rPr>
      <w:rFonts w:ascii="Times New Roman" w:hAnsi="Times New Roman" w:eastAsia="Times New Roman" w:cs="Times New Roman"/>
      <w:sz w:val="28"/>
      <w:szCs w:val="28"/>
      <w:lang w:val="en" w:eastAsia="en-US" w:bidi="ar-SA"/>
    </w:rPr>
  </w:style>
  <w:style w:type="character" w:customStyle="1" w:styleId="24">
    <w:name w:val="Normal (Web) Char"/>
    <w:link w:val="15"/>
    <w:qFormat/>
    <w:locked/>
    <w:uiPriority w:val="99"/>
    <w:rPr>
      <w:sz w:val="24"/>
      <w:szCs w:val="24"/>
      <w:lang w:val="en-US"/>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2.xml"/><Relationship Id="rId8" Type="http://schemas.openxmlformats.org/officeDocument/2006/relationships/customXml" Target="../customXml/item1.xml"/><Relationship Id="rId7"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7IP/hXaZblMZHJJguvdYt8Ecg==">CgMxLjAilgIKC0FBQUJfWTNzTnp3EuABCgtBQUFCX1kzc056dxILQUFBQl9ZM3NOencaDQoJdGV4dC9odG1sEgAiDgoKdGV4dC9wbGFpbhIAKhsiFTEwMzM4NTA2MDA0MzIxMDAxMDM0NSgAOAAw2OeIjPQzONjniIz0M0o9CiRhcHBsaWNhdGlvbi92bmQuZ29vZ2xlLWFwcHMuZG9jcy5tZHMaFcLX2uQBDxoNCgkKA05naBABGAAQAVoMdzF6OGF3M2V3bzIwcgIgAHgAggEUc3VnZ2VzdC4xa2R5NnRleW9scXOaAQYIABAAGACwAQC4AQDIAQAY2OeIjPQzINjniIz0MzAAQhRzdWdnZXN0LjFrZHk2dGV5b2xxcyKSAgoLQUFBQl9ZM3NOem8S3QEKC0FBQUJfWTNzTnpvEgtBQUFCX1kzc056bxoNCgl0ZXh0L2h0bWwSACIOCgp0ZXh0L3BsYWluEgAqGyIVMTAzMzg1MDYwMDQzMjEwMDEwMzQ1KAA4ADD44IiM9DM4heaIjPQzSjsKJGFwcGxpY2F0aW9uL3ZuZC5nb29nbGUtYXBwcy5kb2NzLm1kcxoTwtfa5AENGgsKBwoBThABGAAQAVoMaXpqNjMxMzgxeHFxcgIgAHgAggETc3VnZ2VzdC5kd2MyaXZqOGYweJoBBggAEAAYALABALgBAMgBABj44IiM9DMgheaIjPQzMABCE3N1Z2dlc3QuZHdjMml2ajhmMHgilQIKC0FBQUJfWTNzTnpzEt8BCgtBQUFCX1kzc056cxILQUFBQl9ZM3NOenMaDQoJdGV4dC9odG1sEgAiDgoKdGV4dC9wbGFpbhIAKhsiFTEwMzM4NTA2MDA0MzIxMDAxMDM0NSgAOAAw7+aIjPQzOO/miIz0M0o8CiRhcHBsaWNhdGlvbi92bmQuZ29vZ2xlLWFwcHMuZG9jcy5tZHMaFMLX2uQBDhoMCggKAk5nEAEYABABWgw2ZjF4MzJidjc4MmZyAiAAeACCARRzdWdnZXN0LmZvc2tiMGVwcXptY5oBBggAEAAYALABALgBAMgBABjv5oiM9DMg7+aIjPQzMABCFHN1Z2dlc3QuZm9za2IwZXBxem1jIpkCCgtBQUFCX1kzc04wTRLjAQoLQUFBQl9ZM3NOME0SC0FBQUJfWTNzTjBNGg0KCXRleHQvaHRtbBIAIg4KCnRleHQvcGxhaW4SACobIhUxMDMzODUwNjAwNDMyMTAwMTAzNDUoADgAMOG+iYz0MzjhvomM9DNKQAokYXBwbGljYXRpb24vdm5kLmdvb2dsZS1hcHBzLmRvY3MubWRzGhjC19rkARIaEAoMCgZOZ2jhu4sQARgAEAFaDGNjZDV6c3k2dmZ1NXICIAB4AIIBFHN1Z2dlc3QuZmFzYnNybG94ZGx0mgEGCAAQABgAsAEAuAEAyAEAGOG+iYz0MyDhvomM9DMwAEIUc3VnZ2VzdC5mYXNic3Jsb3hkbHQilQIKC0FBQUJfWTNzTnl3Et8BCgtBQUFCX1kzc055dxILQUFBQl9ZM3NOeXcaDQoJdGV4dC9odG1sEgAiDgoKdGV4dC9wbGFpbhIAKhsiFTEwMzM4NTA2MDA0MzIxMDAxMDM0NSgAOAAwg62DjPQzOIOtg4z0M0o8CiRhcHBsaWNhdGlvbi92bmQuZ29vZ2xlLWFwcHMuZG9jcy5tZHMaFMLX2uQBDhoMCggKAlRpEAEYABABWgxlM3BwaDJ3bWEybGhyAiAAeACCARRzdWdnZXN0LnVvODU3enpmdmduMpoBBggAEAAYALABALgBAMgBABiDrYOM9DMgg62DjPQzMABCFHN1Z2dlc3QudW84NTd6emZ2Z24yIpYCCgtBQUFCX1kzc04wRRLgAQoLQUFBQl9ZM3NOMEUSC0FBQUJfWTNzTjBFGg0KCXRleHQvaHRtbBIAIg4KCnRleHQvcGxhaW4SACobIhUxMDMzODUwNjAwNDMyMTAwMTAzNDUoADgAMJG9iYz0MziRvYmM9DNKPQokYXBwbGljYXRpb24vdm5kLmdvb2dsZS1hcHBzLmRvY3MubWRzGhXC19rkAQ8aDQoJCgNOZ2gQARgAEAFaDDZiYXdja2Y5czN3enICIAB4AIIBFHN1Z2dlc3QubDJ6NW9pdTYzd2hwmgEGCAAQABgAsAEAuAEAyAEAGJG9iYz0MyCRvYmM9DMwAEIUc3VnZ2VzdC5sMno1b2l1NjN3aHAilwIKC0FBQUJfWTNzTnpREuEBCgtBQUFCX1kzc056URILQUFBQl9ZM3NOelEaDQoJdGV4dC9odG1sEgAiDgoKdGV4dC9wbGFpbhIAKhsiFTEwMzM4NTA2MDA0MzIxMDAxMDM0NSgAOAAwoNGDjPQzOKDRg4z0M0o+CiRhcHBsaWNhdGlvbi92bmQuZ29vZ2xlLWFwcHMuZG9jcy5tZHMaFsLX2uQBEBoOCgoKBELhu5kQARgAEAFaDHVmZW11bDk5NGprZXICIAB4AIIBFHN1Z2dlc3Qua3h6cmUzZTJ1aTN2mgEGCAAQABgAsAEAuAEAyAEAGKDRg4z0MyCg0YOM9DMwAEIUc3VnZ2VzdC5reHpyZTNlMnVpM3YilwIKC0FBQUJfWTNzTjBJEuEBCgtBQUFCX1kzc04wSRILQUFBQl9ZM3NOMEkaDQoJdGV4dC9odG1sEgAiDgoKdGV4dC9wbGFpbhIAKhsiFTEwMzM4NTA2MDA0MzIxMDAxMDM0NSgAOAAw+72JjPQzOPu9iYz0M0o+CiRhcHBsaWNhdGlvbi92bmQuZ29vZ2xlLWFwcHMuZG9jcy5tZHMaFsLX2uQBEBoOCgoKBE5naGkQARgAEAFaDG52aDdzd3BkeWFnNXICIAB4AIIBFHN1Z2dlc3QuazVoMXpnaGk1dnVjmgEGCAAQABgAsAEAuAEAyAEAGPu9iYz0MyD7vYmM9DMwAEIUc3VnZ2VzdC5rNWgxemdoaTV2dWMilAIKC0FBQUJfWTNzTnlzEt4BCgtBQUFCX1kzc055cxILQUFBQl9ZM3NOeXMaDQoJdGV4dC9odG1sEgAiDgoKdGV4dC9wbGFpbhIAKhsiFTEwMzM4NTA2MDA0MzIxMDAxMDM0NSgAOAAwyKiDjPQzOJqsg4z0M0o7CiRhcHBsaWNhdGlvbi92bmQuZ29vZ2xlLWFwcHMuZG9jcy5tZHMaE8LX2uQBDRoLCgcKAVQQARgAEAFaDGx2Njhpdmx2aTJyN3ICIAB4AIIBFHN1Z2dlc3Qud3BhNzg5OTd3a2E1mgEGCAAQABgAsAEAuAEAyAEAGMiog4z0MyCarIOM9DMwAEIUc3VnZ2VzdC53cGE3ODk5N3drYTUilwIKC0FBQUJfWTNzTnlnEuEBCgtBQUFCX1kzc055ZxILQUFBQl9ZM3NOeWcaDQoJdGV4dC9odG1sEgAiDgoKdGV4dC9wbGFpbhIAKhsiFTEwMzM4NTA2MDA0MzIxMDAxMDM0NSgAOAAwuuyCjPQzOLrsgoz0M0o+CiRhcHBsaWNhdGlvbi92bmQuZ29vZ2xlLWFwcHMuZG9jcy5tZHMaFsLX2uQBEBoOCgoKBFPGsGEQARgAEAFaDHh5bWVsbnFyOTlmanICIAB4AIIBFHN1Z2dlc3QuY3hnMnE2OHA0dGNomgEGCAAQABgAsAEAuAEAyAEAGLrsgoz0MyC67IKM9DMwAEIUc3VnZ2VzdC5jeGcycTY4cDR0Y2gilQIKC0FBQUJfWTNzTnpJEt8BCgtBQUFCX1kzc056SRILQUFBQl9ZM3NOekkaDQoJdGV4dC9odG1sEgAiDgoKdGV4dC9wbGFpbhIAKhsiFTEwMzM4NTA2MDA0MzIxMDAxMDM0NSgAOAAwv8yDjPQzOL/Mg4z0M0o8CiRhcHBsaWNhdGlvbi92bmQuZ29vZ2xlLWFwcHMuZG9jcy5tZHMaFMLX2uQBDhoMCggKAkJvEAEYABABWgx2cmg3eDVkb2VjYXdyAiAAeACCARRzdWdnZXN0LjhvcjZnaDM3cnRlZJoBBggAEAAYALABALgBAMgBABi/zIOM9DMgv8yDjPQzMABCFHN1Z2dlc3QuOG9yNmdoMzdydGVkIpUCCgtBQUFCX1kzc04wQRLfAQoLQUFBQl9ZM3NOMEESC0FBQUJfWTNzTjBBGg0KCXRleHQvaHRtbBIAIg4KCnRleHQvcGxhaW4SACobIhUxMDMzODUwNjAwNDMyMTAwMTAzNDUoADgAMKa8iYz0MzimvImM9DNKPAokYXBwbGljYXRpb24vdm5kLmdvb2dsZS1hcHBzLmRvY3MubWRzGhTC19rkAQ4aDAoICgJOZxABGAAQAVoMMnJhZ3cxYndvcThpcgIgAHgAggEUc3VnZ2VzdC4xYzN4eWRsY3JhaHKaAQYIABAAGACwAQC4AQDIAQAYpryJjPQzIKa8iYz0MzAAQhRzdWdnZXN0LjFjM3h5ZGxjcmFociKYAgoLQUFBQl9ZM3NOeWsS4gEKC0FBQUJfWTNzTnlrEgtBQUFCX1kzc055axoNCgl0ZXh0L2h0bWwSACIOCgp0ZXh0L3BsYWluEgAqGyIVMTAzMzg1MDYwMDQzMjEwMDEwMzQ1KAA4ADCn7YKM9DM4p+2CjPQzSj8KJGFwcGxpY2F0aW9uL3ZuZC5nb29nbGUtYXBwcy5kb2NzLm1kcxoXwtfa5AERGg8KCwoFU+G7rWEQARgAEAFaDDV5NndudmlmbTl5a3ICIAB4AIIBFHN1Z2dlc3QuamFnM3oydHo5cmRhmgEGCAAQABgAsAEAuAEAyAEAGKftgoz0MyCn7YKM9DMwAEIUc3VnZ2VzdC5qYWczejJ0ejlyZGEilgIKC0FBQUJfWTNzTnpNEuABCgtBQUFCX1kzc056TRILQUFBQl9ZM3NOek0aDQoJdGV4dC9odG1sEgAiDgoKdGV4dC9wbGFpbhIAKhsiFTEwMzM4NTA2MDA0MzIxMDAxMDM0NSgAOAAwtM2DjPQzOLTNg4z0M0o9CiRhcHBsaWNhdGlvbi92bmQuZ29vZ2xlLWFwcHMuZG9jcy5tZHMaFcLX2uQBDxoNCgkKA0LDtBABGAAQAVoMYmxmYnZjaWl6bm1ycgIgAHgAggEUc3VnZ2VzdC44OHhvNjU3OHFncTeaAQYIABAAGACwAQC4AQDIAQAYtM2DjPQzILTNg4z0MzAAQhRzdWdnZXN0Ljg4eG82NTc4cWdxNyKWAgoLQUFBQl9ZM3NOeWMS4AEKC0FBQUJfWTNzTnljEgtBQUFCX1kzc055YxoNCgl0ZXh0L2h0bWwSACIOCgp0ZXh0L3BsYWluEgAqGyIVMTAzMzg1MDYwMDQzMjEwMDEwMzQ1KAA4ADCL6IKM9DM4i+iCjPQzSj0KJGFwcGxpY2F0aW9uL3ZuZC5nb29nbGUtYXBwcy5kb2NzLm1kcxoVwtfa5AEPGg0KCQoDU8awEAEYABABWgwyMWNwNzF4bzRiZ2lyAiAAeACCARRzdWdnZXN0LmRnNGIzNGlheDZxOJoBBggAEAAYALABALgBAMgBABiL6IKM9DMgi+iCjPQzMABCFHN1Z2dlc3QuZGc0YjM0aWF4NnE4IpQCCgtBQUFCX1kzc056RRLeAQoLQUFBQl9ZM3NOekUSC0FBQUJfWTNzTnpFGg0KCXRleHQvaHRtbBIAIg4KCnRleHQvcGxhaW4SACobIhUxMDMzODUwNjAwNDMyMTAwMTAzNDUoADgAMO7Hg4z0MzjMy4OM9DNKOwokYXBwbGljYXRpb24vdm5kLmdvb2dsZS1hcHBzLmRvY3MubWRzGhPC19rkAQ0aCwoHCgFCEAEYABABWgw4MGVwemYzamtxc2hyAiAAeACCARRzdWdnZXN0LmN0ejdsMWE0czdrY5oBBggAEAAYALABALgBAMgBABjux4OM9DMgzMuDjPQzMABCFHN1Z2dlc3QuY3R6N2wxYTRzN2tjIpMCCgtBQUFCX1kzc055WRLeAQoLQUFBQl9ZM3NOeVkSC0FBQUJfWTNzTnlZGg0KCXRleHQvaHRtbBIAIg4KCnRleHQvcGxhaW4SACobIhUxMDMzODUwNjAwNDMyMTAwMTAzNDUoADgAMJ/ngoz0Mzif54KM9DNKPAokYXBwbGljYXRpb24vdm5kLmdvb2dsZS1hcHBzLmRvY3MubWRzGhTC19rkAQ4aDAoICgJTdRABGAAQAVoMbHViYWdrZDRjZWtscgIgAHgAggETc3VnZ2VzdC41c2MybWMxNXo2NZoBBggAEAAYALABALgBAMgBABif54KM9DMgn+eCjPQzMABCE3N1Z2dlc3QuNXNjMm1jMTV6NjUilwIKC0FBQUJfWTNzTnowEuEBCgtBQUFCX1kzc056MBILQUFBQl9ZM3NOejAaDQoJdGV4dC9odG1sEgAiDgoKdGV4dC9wbGFpbhIAKhsiFTEwMzM4NTA2MDA0MzIxMDAxMDM0NSgAOAAwvuiIjPQzOL7oiIz0M0o+CiRhcHBsaWNhdGlvbi92bmQuZ29vZ2xlLWFwcHMuZG9jcy5tZHMaFsLX2uQBEBoOCgoKBE5naGkQARgAEAFaDDY4b2c0cW81ZXhpdXICIAB4AIIBFHN1Z2dlc3QucmxtaXA3bWplc3o3mgEGCAAQABgAsAEAuAEAyAEAGL7oiIz0MyC+6IiM9DMwAEIUc3VnZ2VzdC5ybG1pcDdtamVzejcimQIKC0FBQUJfWTNzTno0EuMBCgtBQUFCX1kzc056NBILQUFBQl9ZM3NOejQaDQoJdGV4dC9odG1sEgAiDgoKdGV4dC9wbGFpbhIAKhsiFTEwMzM4NTA2MDA0MzIxMDAxMDM0NSgAOAAwnOqIjPQzOJzqiIz0M0pACiRhcHBsaWNhdGlvbi92bmQuZ29vZ2xlLWFwcHMuZG9jcy5tZHMaGMLX2uQBEhoQCgwKBk5naOG7ixABGAAQAVoMcHc3NGpmcmxkOXN0cgIgAHgAggEUc3VnZ2VzdC5oa3R4MjhpcmU1OWyaAQYIABAAGACwAQC4AQDIAQAYnOqIjPQzIJzqiIz0MzAAQhRzdWdnZXN0LmhrdHgyOGlyZTU5bCKUAgoLQUFBQl9ZM3NOeVUS3gEKC0FBQUJfWTNzTnlVEgtBQUFCX1kzc055VRoNCgl0ZXh0L2h0bWwSACIOCgp0ZXh0L3BsYWluEgAqGyIVMTAzMzg1MDYwMDQzMjEwMDEwMzQ1KAA4ADC+4oKM9DM4guaCjPQzSjsKJGFwcGxpY2F0aW9uL3ZuZC5nb29nbGUtYXBwcy5kb2NzLm1kcxoTwtfa5AENGgsKBwoBUxABGAAQAVoMY2U4eDd1amVzMGRhcgIgAHgAggEUc3VnZ2VzdC53ajl4ZHl6YWx1eWKaAQYIABAAGACwAQC4AQDIAQAYvuKCjPQzIILmgoz0MzAAQhRzdWdnZXN0LndqOXhkeXphbHV5YiKZAgoLQUFBQl9ZM3NOeUkS4wEKC0FBQUJfWTNzTnlJEgtBQUFCX1kzc055SRoNCgl0ZXh0L2h0bWwSACIOCgp0ZXh0L3BsYWluEgAqGyIVMTAzMzg1MDYwMDQzMjEwMDEwMzQ1KAA4ADCZs/WL9DM4mbP1i/QzSkAKJGFwcGxpY2F0aW9uL3ZuZC5nb29nbGUtYXBwcy5kb2NzLm1kcxoYwtfa5AESGhAKDAoGTHXhuq10EAEYABABWgxjcndvMWI1dmg1ZGlyAiAAeACCARRzdWdnZXN0Lmo3dHo2NXE5NHVyNpoBBggAEAAYALABALgBAMgBABiZs/WL9DMgmbP1i/QzMABCFHN1Z2dlc3Quajd0ejY1cTk0dXI2IpcCCgtBQUFCX1kzc055QRLhAQoLQUFBQl9ZM3NOeUESC0FBQUJfWTNzTnlBGg0KCXRleHQvaHRtbBIAIg4KCnRleHQvcGxhaW4SACobIhUxMDMzODUwNjAwNDMyMTAwMTAzNDUoADgAMISu9Yv0MziErvWL9DNKPgokYXBwbGljYXRpb24vdm5kLmdvb2dsZS1hcHBzLmRvY3MubWRzGhbC19rkARAaDgoKCgRMdWF0EAEYABABWgxld29xMDlkNnU0djVyAiAAeACCARRzdWdnZXN0LmVxMGFxbno3ZzY5NZoBBggAEAAYALABALgBAMgBABiErvWL9DMghK71i/QzMABCFHN1Z2dlc3QuZXEwYXFuejdnNjk1IpcCCgtBQUFCX1kzc055RRLhAQoLQUFBQl9ZM3NOeUUSC0FBQUJfWTNzTnlFGg0KCXRleHQvaHRtbBIAIg4KCnRleHQvcGxhaW4SACobIhUxMDMzODUwNjAwNDMyMTAwMTAzNDUoADgAMKyy9Yv0MzissvWL9DNKPwokYXBwbGljYXRpb24vdm5kLmdvb2dsZS1hcHBzLmRvY3MubWRzGhfC19rkAREaDwoLCgVMdcOidBABGAAQAVoLeGlramFsNXc5c2RyAiAAeACCARRzdWdnZXN0LmwzczNpcG5sMjRqOZoBBggAEAAYALABALgBAMgBABissvWL9DMgrLL1i/QzMABCFHN1Z2dlc3QubDNzM2lwbmwyNGo5IpgCCgtBQUFCX1kzc055OBLiAQoLQUFBQl9ZM3NOeTgSC0FBQUJfWTNzTnk4Gg0KCXRleHQvaHRtbBIAIg4KCnRleHQvcGxhaW4SACobIhUxMDMzODUwNjAwNDMyMTAwMTAzNDUoADgAMLezg4z0Mzi3s4OM9DNKPwokYXBwbGljYXRpb24vdm5kLmdvb2dsZS1hcHBzLmRvY3MubWRzGhfC19rkAREaDwoLCgVUacOqdRABGAAQAVoMcnZjZmZtMzZwajE4cgIgAHgAggEUc3VnZ2VzdC5oZm4yNnJrYm5lazGaAQYIABAAGACwAQC4AQDIAQAYt7ODjPQzILezg4z0MzAAQhRzdWdnZXN0LmhmbjI2cmtibmVrMSKVAgoLQUFBQl9ZM3NOeTAS3wEKC0FBQUJfWTNzTnkwEgtBQUFCX1kzc055MBoNCgl0ZXh0L2h0bWwSACIOCgp0ZXh0L3BsYWluEgAqGyIVMTAzMzg1MDYwMDQzMjEwMDEwMzQ1KAA4ADDtrYOM9DM47a2DjPQzSj0KJGFwcGxpY2F0aW9uL3ZuZC5nb29nbGUtYXBwcy5kb2NzLm1kcxoVwtfa5AEPGg0KCQoDVGllEAEYABABWgtvdDhxNndzdXRwZ3ICIAB4AIIBFHN1Z2dlc3Quc2h3eWVzcXZrYXUymgEGCAAQABgAsAEAuAEAyAEAGO2tg4z0MyDtrYOM9DMwAEIUc3VnZ2VzdC5zaHd5ZXNxdmthdTIilwIKC0FBQUJfWTNzTnk0EuEBCgtBQUFCX1kzc055NBILQUFBQl9ZM3NOeTQaDQoJdGV4dC9odG1sEgAiDgoKdGV4dC9wbGFpbhIAKhsiFTEwMzM4NTA2MDA0MzIxMDAxMDM0NSgAOAAwx7KDjPQzOMeyg4z0M0o+CiRhcHBsaWNhdGlvbi92bmQuZ29vZ2xlLWFwcHMuZG9jcy5tZHMaFsLX2uQBEBoOCgoKBFRpw6oQARgAEAFaDG5kMjI3c3Q3a2N0Y3ICIAB4AIIBFHN1Z2dlc3QuYzJnYnh0NXlyZDR2mgEGCAAQABgAsAEAuAEAyAEAGMeyg4z0MyDHsoOM9DMwAEIUc3VnZ2VzdC5jMmdieHQ1eXJkNHYilgIKC0FBQUJfWTlxbWRZEuABCgtBQUFCX1k5cW1kWRILQUFBQl9ZOXFtZFkaDQoJdGV4dC9odG1sEgAiDgoKdGV4dC9wbGFpbhIAKhsiFTEwMzM4NTA2MDA0MzIxMDAxMDM0NSgAOAAw+umatvQzOPrpmrb0M0o9CiRhcHBsaWNhdGlvbi92bmQuZ29vZ2xlLWFwcHMuZG9jcy5tZHMaFcLX2uQBDxoNCgkKA1RoYRABGAAQAVoMd201M3Z6eGVuc2U2cgIgAHgAggEUc3VnZ2VzdC5iNWs1b3dxdXJtOXWaAQYIABAAGACwAQC4AQDIAQAY+umatvQzIPrpmrb0MzAAQhRzdWdnZXN0LmI1azVvd3F1cm05dSKVAgoLQUFBQl9ZOXFtZFUS3wEKC0FBQUJfWTlxbWRVEgtBQUFCX1k5cW1kVRoNCgl0ZXh0L2h0bWwSACIOCgp0ZXh0L3BsYWluEgAqGyIVMTAzMzg1MDYwMDQzMjEwMDEwMzQ1KAA4ADCc6Zq29DM4nOmatvQzSjwKJGFwcGxpY2F0aW9uL3ZuZC5nb29nbGUtYXBwcy5kb2NzLm1kcxoUwtfa5AEOGgwKCAoCVGgQARgAEAFaDGRlaW5vbnhseXA1a3ICIAB4AIIBFHN1Z2dlc3QubjBwM2lkOGQycDMzmgEGCAAQABgAsAEAuAEAyAEAGJzpmrb0MyCc6Zq29DMwAEIUc3VnZ2VzdC5uMHAzaWQ4ZDJwMzMilAIKC0FBQUJfWTlxbWRREt4BCgtBQUFCX1k5cW1kURILQUFBQl9ZOXFtZFEaDQoJdGV4dC9odG1sEgAiDgoKdGV4dC9wbGFpbhIAKhsiFTEwMzM4NTA2MDA0MzIxMDAxMDM0NSgAOAAwlNmatvQzOL/omrb0M0o7CiRhcHBsaWNhdGlvbi92bmQuZ29vZ2xlLWFwcHMuZG9jcy5tZHMaE8LX2uQBDRoLCgcKAVQQARgAEAFaDHRxZDdmdmhncmFoMXICIAB4AIIBFHN1Z2dlc3QuY3N0N2tidWRzejYzmgEGCAAQABgAsAEAuAEAyAEAGJTZmrb0MyC/6Jq29DMwAEIUc3VnZ2VzdC5jc3Q3a2J1ZHN6NjMilAIKC0FBQUJfWTNzTng4Et8BCgtBQUFCX1kzc054OBILQUFBQl9ZM3NOeDgaDQoJdGV4dC9odG1sEgAiDgoKdGV4dC9wbGFpbhIAKhsiFTEwMzM4NTA2MDA0MzIxMDAxMDM0NSgAOAAwka31i/QzOJGt9Yv0M0o9CiRhcHBsaWNhdGlvbi92bmQuZ29vZ2xlLWFwcHMuZG9jcy5tZHMaFcLX2uQBDxoNCgkKA0x1YRABGAAQAVoMZ3Jzd2lqM3J5bzUxcgIgAHgAggETc3VnZ2VzdC5mODNjZ2RocW9jNJoBBggAEAAYALABALgBAMgBABiRrfWL9DMgka31i/QzMABCE3N1Z2dlc3QuZjgzY2dkaHFvYzQimAIKC0FBQUJfWTlxbWRnEuIBCgtBQUFCX1k5cW1kZxILQUFBQl9ZOXFtZGcaDQoJdGV4dC9odG1sEgAiDgoKdGV4dC9wbGFpbhIAKhsiFTEwMzM4NTA2MDA0MzIxMDAxMDM0NSgAOAAw8OyatvQzOPDsmrb0M0o/CiRhcHBsaWNhdGlvbi92bmQuZ29vZ2xlLWFwcHMuZG9jcy5tZHMaF8LX2uQBERoPCgsKBVRoYW5nEAEYABABWgxidTc3NDVtcG5oaThyAiAAeACCARRzdWdnZXN0Lmp4amk3b2tjM2cyZpoBBggAEAAYALABALgBAMgBABjw7Jq29DMg8OyatvQzMABCFHN1Z2dlc3QuanhqaTdva2MzZzJmIpQCCgtBQUFCX1k5cW1lSRLeAQoLQUFBQl9ZOXFtZUkSC0FBQUJfWTlxbWVJGg0KCXRleHQvaHRtbBIAIg4KCnRleHQvcGxhaW4SACobIhUxMDMzODUwNjAwNDMyMTAwMTAzNDUoADgAMIHHnbb0MziBx5229DNKOwokYXBwbGljYXRpb24vdm5kLmdvb2dsZS1hcHBzLmRvY3MubWRzGhPC19rkAQ0aCwoHCgEzEAEYABABWgxqdGEzNG5nem50dDFyAiAAeACCARRzdWdnZXN0LmpyZGs1aDIwMGE2bpoBBggAEAAYALABALgBAMgBABiBx5229DMggcedtvQzMABCFHN1Z2dlc3QuanJkazVoMjAwYTZuIpQCCgtBQUFCX1kzc054MBLeAQoLQUFBQl9ZM3NOeDASC0FBQUJfWTNzTngwGg0KCXRleHQvaHRtbBIAIg4KCnRleHQvcGxhaW4SACobIhUxMDMzODUwNjAwNDMyMTAwMTAzNDUoADgAMLql9Yv0MzjpqvWL9DNKOwokYXBwbGljYXRpb24vdm5kLmdvb2dsZS1hcHBzLmRvY3MubWRzGhPC19rkAQ0aCwoHCgFMEAEYABABWgw3YjlmYWdvbGZjNmVyAiAAeACCARRzdWdnZXN0LnV3OHp1aTVscTYzaJoBBggAEAAYALABALgBAMgBABi6pfWL9DMg6ar1i/QzMABCFHN1Z2dlc3QudXc4enVpNWxxNjNoIpcCCgtBQUFCX1k5cW1kYxLhAQoLQUFBQl9ZOXFtZGMSC0FBQUJfWTlxbWRjGg0KCXRleHQvaHRtbBIAIg4KCnRleHQvcGxhaW4SACobIhUxMDMzODUwNjAwNDMyMTAwMTAzNDUoADgAMNfqmrb0MzjX6pq29DNKPgokYXBwbGljYXRpb24vdm5kLmdvb2dsZS1hcHBzLmRvY3MubWRzGhbC19rkARAaDgoKCgRUaGFuEAEYABABWgxnMjVndDQzN3ByNHByAiAAeACCARRzdWdnZXN0Lnl0YXd4dmFiZm50YpoBBggAEAAYALABALgBAMgBABjX6pq29DMg1+qatvQzMABCFHN1Z2dlc3QueXRhd3h2YWJmbnRiIpUCCgtBQUFCX1kzc054NBLfAQoLQUFBQl9ZM3NOeDQSC0FBQUJfWTNzTng0Gg0KCXRleHQvaHRtbBIAIg4KCnRleHQvcGxhaW4SACobIhUxMDMzODUwNjAwNDMyMTAwMTAzNDUoADgAMKKs9Yv0MziirPWL9DNKPAokYXBwbGljYXRpb24vdm5kLmdvb2dsZS1hcHBzLmRvY3MubWRzGhTC19rkAQ4aDAoICgJMdRABGAAQAVoMb2JpeTMyY3drZTg3cgIgAHgAggEUc3VnZ2VzdC4xcTU5a2Y2bjM5ZnSaAQYIABAAGACwAQC4AQDIAQAYoqz1i/QzIKKs9Yv0MzAAQhRzdWdnZXN0LjFxNTlrZjZuMzlmdCKUAgoLQUFBQl9ZOXFtZVkS3gEKC0FBQUJfWTlxbWVZEgtBQUFCX1k5cW1lWRoNCgl0ZXh0L2h0bWwSACIOCgp0ZXh0L3BsYWluEgAqGyIVMTAzMzg1MDYwMDQzMjEwMDEwMzQ1KAA4ADCZn6C29DM466egtvQzSjsKJGFwcGxpY2F0aW9uL3ZuZC5nb29nbGUtYXBwcy5kb2NzLm1kcxoTwtfa5AENGgsKBwoBMhABGAAQAVoMcTVuamQya2RnMDc3cgIgAHgAggEUc3VnZ2VzdC56NmRwNTUyNGZuc2aaAQYIABAAGACwAQC4AQDIAQAYmZ+gtvQzIOunoLb0MzAAQhRzdWdnZXN0Lno2ZHA1NTI0Zm5zZiKZAgoLQUFBQl9ZOXFtZGsS4wEKC0FBQUJfWTlxbWRrEgtBQUFCX1k5cW1kaxoNCgl0ZXh0L2h0bWwSACIOCgp0ZXh0L3BsYWluEgAqGyIVMTAzMzg1MDYwMDQzMjEwMDEwMzQ1KAA4ADDM7Zq29DM4zO2atvQzSkAKJGFwcGxpY2F0aW9uL3ZuZC5nb29nbGUtYXBwcy5kb2NzLm1kcxoYwtfa5AESGhAKDAoGVGjDoW5nEAEYABABWgx0eGVreWI2Mm40c3NyAiAAeACCARRzdWdnZXN0LjdqbHc2ZHd6dGZpZZoBBggAEAAYALABALgBAMgBABjM7Zq29DMgzO2atvQzMABCFHN1Z2dlc3QuN2psdzZkd3p0ZmllIpYCCgtBQUFCX1k5cW1jOBLgAQoLQUFBQl9ZOXFtYzgSC0FBQUJfWTlxbWM4Gg0KCXRleHQvaHRtbBIAIg4KCnRleHQvcGxhaW4SACobIhUxMDMzODUwNjAwNDMyMTAwMTAzNDUoADgAMOWvmrb0Mzjlr5q29DNKPQokYXBwbGljYXRpb24vdm5kLmdvb2dsZS1hcHBzLmRvY3MubWRzGhXC19rkAQ8aDQoJCgNUaGEQARgAEAFaDGxoMjl2enJlNHZlbHICIAB4AIIBFHN1Z2dlc3QudjJqbTYzaXF1NDh5mgEGCAAQABgAsAEAuAEAyAEAGOWvmrb0MyDlr5q29DMwAEIUc3VnZ2VzdC52MmptNjNpcXU0OHkilQIKC0FBQUJfWTlxbWM0Et8BCgtBQUFCX1k5cW1jNBILQUFBQl9ZOXFtYzQaDQoJdGV4dC9odG1sEgAiDgoKdGV4dC9wbGFpbhIAKhsiFTEwMzM4NTA2MDA0MzIxMDAxMDM0NSgAOAAwh6+atvQzOIevmrb0M0o8CiRhcHBsaWNhdGlvbi92bmQuZ29vZ2xlLWFwcHMuZG9jcy5tZHMaFMLX2uQBDhoMCggKAlRoEAEYABABWgxtNXl2bHJsYnpqbzZyAiAAeACCARRzdWdnZXN0LmpkZmRjZzViN25hOJoBBggAEAAYALABALgBAMgBABiHr5q29DMgh6+atvQzMABCFHN1Z2dlc3QuamRmZGNnNWI3bmE4IpQCCgtBQUFCX1k5cW1jMBLeAQoLQUFBQl9ZOXFtYzASC0FBQUJfWTlxbWMwGg0KCXRleHQvaHRtbBIAIg4KCnRleHQvcGxhaW4SACobIhUxMDMzODUwNjAwNDMyMTAwMTAzNDUoADgAMO6Tmrb0MziGrJq29DNKOwokYXBwbGljYXRpb24vdm5kLmdvb2dsZS1hcHBzLmRvY3MubWRzGhPC19rkAQ0aCwoHCgFUEAEYABABWgwxM3Bmc21uam1uZ3dyAiAAeACCARRzdWdnZXN0LmxsZGI5cXBsY2NrZpoBBggAEAAYALABALgBAMgBABjuk5q29DMghqyatvQzMABCFHN1Z2dlc3QubGxkYjlxcGxjY2tmIpQCCgtBQUFCX1k5cW1kOBLeAQoLQUFBQl9ZOXFtZDgSC0FBQUJfWTlxbWQ4Gg0KCXRleHQvaHRtbBIAIg4KCnRleHQvcGxhaW4SACobIhUxMDMzODUwNjAwNDMyMTAwMTAzNDUoADgAMIOKnbb0MzjSmJ229DNKOwokYXBwbGljYXRpb24vdm5kLmdvb2dsZS1hcHBzLmRvY3MubWRzGhPC19rkAQ0aCwoHCgEzEAEYABABWgxrNTFsYnAyaWt6OGNyAiAAeACCARRzdWdnZXN0LnFhOXRiZXhoaDF1eJoBBggAEAAYALABALgBAMgBABiDip229DMg0pidtvQzMABCFHN1Z2dlc3QucWE5dGJleGhoMXV4IpkCCgtBQUFCX1k5cW1kSRLjAQoLQUFBQl9ZOXFtZEkSC0FBQUJfWTlxbWRJGg0KCXRleHQvaHRtbBIAIg4KCnRleHQvcGxhaW4SACobIhUxMDMzODUwNjAwNDMyMTAwMTAzNDUoADgAMIKymrb0MziCspq29DNKQAokYXBwbGljYXRpb24vdm5kLmdvb2dsZS1hcHBzLmRvY3MubWRzGhjC19rkARIaEAoMCgZUaMOhbmcQARgAEAFaDGozcHM4NDd0NWsza3ICIAB4AIIBFHN1Z2dlc3QucHR6c2QyNXR1MGs0mgEGCAAQABgAsAEAuAEAyAEAGIKymrb0MyCCspq29DMwAEIUc3VnZ2VzdC5wdHpzZDI1dHUwazQimAIKC0FBQUJfWTlxbWRFEuIBCgtBQUFCX1k5cW1kRRILQUFBQl9ZOXFtZEUaDQoJdGV4dC9odG1sEgAiDgoKdGV4dC9wbGFpbhIAKhsiFTEwMzM4NTA2MDA0MzIxMDAxMDM0NSgAOAAwpbGatvQzOKWxmrb0M0o/CiRhcHBsaWNhdGlvbi92bmQuZ29vZ2xlLWFwcHMuZG9jcy5tZHMaF8LX2uQBERoPCgsKBVRoYW5nEAEYABABWgw3c3BweWl5dGh6cjByAiAAeACCARRzdWdnZXN0LjQwNnVmejVmMWFzNZoBBggAEAAYALABALgBAMgBABilsZq29DMgpbGatvQzMABCFHN1Z2dlc3QuNDA2dWZ6NWYxYXM1IpcCCgtBQUFCX1k5cW1kQRLhAQoLQUFBQl9ZOXFtZEESC0FBQUJfWTlxbWRBGg0KCXRleHQvaHRtbBIAIg4KCnRleHQvcGxhaW4SACobIhUxMDMzODUwNjAwNDMyMTAwMTAzNDUoADgAMMewmrb0MzjHsJq29DNKPgokYXBwbGljYXRpb24vdm5kLmdvb2dsZS1hcHBzLmRvY3MubWRzGhbC19rkARAaDgoKCgRUaGFuEAEYABABWgxhbTRhY3R3bzJ0amdyAiAAeACCARRzdWdnZXN0LnE2bDFoeXliZWV4ZZoBBggAEAAYALABALgBAMgBABjHsJq29DMgx7CatvQzMABCFHN1Z2dlc3QucTZsMWh5eWJlZXhlMg1oLmIyNnNtMzlkb2E3Mg5oLno1ZGR5d3J3bGlzZjgAaiUKFHN1Z2dlc3QuMWtkeTZ0ZXlvbHFzEg1IYW5oIFF1eWVuIFZ1aiUKFHN1Z2dlc3QudGw3dnB6dTIzcHZ1Eg1IYW5oIFF1eWVuIFZ1aiQKE3N1Z2dlc3QuZHdjMml2ajhmMHgSDUhhbmggUXV5ZW4gVnVqJQoUc3VnZ2VzdC4ydm8wdWcyNGQ3ZW8SDUhhbmggUXV5ZW4gVnVqJQoUc3VnZ2VzdC5mb3NrYjBlcHF6bWMSDUhhbmggUXV5ZW4gVnVqJQoUc3VnZ2VzdC5jbnB0Nzk1dWZkcDASDUhhbmggUXV5ZW4gVnVqJQoUc3VnZ2VzdC5nbHdvZzgyYWJvM2sSDUhhbmggUXV5ZW4gVnVqJQoUc3VnZ2VzdC5mYXNic3Jsb3hkbHQSDUhhbmggUXV5ZW4gVnVqJQoUc3VnZ2VzdC51bzg1N3p6ZnZnbjISDUhhbmggUXV5ZW4gVnVqJQoUc3VnZ2VzdC5rZG9vM2Zmc3EwYWUSDUhhbmggUXV5ZW4gVnVqJQoUc3VnZ2VzdC4xODdmNnV4cmZ4Y2ISDUhhbmggUXV5ZW4gVnVqJQoUc3VnZ2VzdC5sMno1b2l1NjN3aHASDUhhbmggUXV5ZW4gVnVqJQoUc3VnZ2VzdC5hdXk0OWwya2R3aWQSDUhhbmggUXV5ZW4gVnVqJQoUc3VnZ2VzdC5reHpyZTNlMnVpM3YSDUhhbmggUXV5ZW4gVnVqJQoUc3VnZ2VzdC5rNWgxemdoaTV2dWMSDUhhbmggUXV5ZW4gVnVqJQoUc3VnZ2VzdC53cGE3ODk5N3drYTUSDUhhbmggUXV5ZW4gVnVqJQoUc3VnZ2VzdC50bW0zeDRlamZrb3YSDUhhbmggUXV5ZW4gVnVqJQoUc3VnZ2VzdC5jeGcycTY4cDR0Y2gSDUhhbmggUXV5ZW4gVnVqJQoUc3VnZ2VzdC44b3I2Z2gzN3J0ZWQSDUhhbmggUXV5ZW4gVnVqJQoUc3VnZ2VzdC4xYzN4eWRsY3JhaHISDUhhbmggUXV5ZW4gVnVqJQoUc3VnZ2VzdC5qYWczejJ0ejlyZGESDUhhbmggUXV5ZW4gVnVqJQoUc3VnZ2VzdC44OHhvNjU3OHFncTcSDUhhbmggUXV5ZW4gVnVqJQoUc3VnZ2VzdC52dTJyb3ZoN2I0aXESDUhhbmggUXV5ZW4gVnVqJQoUc3VnZ2VzdC54a2g0NDMzZ2ttN2gSDUhhbmggUXV5ZW4gVnVqJQoUc3VnZ2VzdC45NmI1MDF3MGxpNHcSDUhhbmggUXV5ZW4gVnVqJQoUc3VnZ2VzdC5jOG43cG52MWJxbnkSDUhhbmggUXV5ZW4gVnVqJQoUc3VnZ2VzdC5kZzRiMzRpYXg2cTgSDUhhbmggUXV5ZW4gVnVqJQoUc3VnZ2VzdC5jdHo3bDFhNHM3a2MSDUhhbmggUXV5ZW4gVnVqJQoUc3VnZ2VzdC53aXR0dnY2cmhpbTESDUhhbmggUXV5ZW4gVnVqJQoUc3VnZ2VzdC50MWlweml6N2hsa24SDUhhbmggUXV5ZW4gVnVqJAoTc3VnZ2VzdC41c2MybWMxNXo2NRINSGFuaCBRdXllbiBWdWolChRzdWdnZXN0Ljc2cTdhc3F6ZDJlYxINSGFuaCBRdXllbiBWdWolChRzdWdnZXN0Lmg3NjY3M3NoNmJ5ZhINSGFuaCBRdXllbiBWdWolChRzdWdnZXN0LnJsbWlwN21qZXN6NxINSGFuaCBRdXllbiBWdWolChRzdWdnZXN0LmpmZTl1NHJ2djAwaRINSGFuaCBRdXllbiBWdWolChRzdWdnZXN0LnJwdWpwMW9jNjRoNRINSGFuaCBRdXllbiBWdWolChRzdWdnZXN0LjF4NG41dHFiN2gzdBINSGFuaCBRdXllbiBWdWolChRzdWdnZXN0LmhrdHgyOGlyZTU5bBINSGFuaCBRdXllbiBWdWolChRzdWdnZXN0LndqOXhkeXphbHV5YhINSGFuaCBRdXllbiBWdWolChRzdWdnZXN0Lmo3dHo2NXE5NHVyNhINSGFuaCBRdXllbiBWdWolChRzdWdnZXN0LnB6dW1ydTVtcDBieBINSGFuaCBRdXllbiBWdWolChRzdWdnZXN0LmJxMm5xZTdzOHdsMRINSGFuaCBRdXllbiBWdWolChRzdWdnZXN0LnF0ZmVzY29nbzh4aRINSGFuaCBRdXllbiBWdWolChRzdWdnZXN0LmVxMGFxbno3ZzY5NRINSGFuaCBRdXllbiBWdWolChRzdWdnZXN0LmwzczNpcG5sMjRqORINSGFuaCBRdXllbiBWdWolChRzdWdnZXN0LmhmbjI2cmtibmVrMRINSGFuaCBRdXllbiBWdWolChRzdWdnZXN0LnNod3llc3F2a2F1MhINSGFuaCBRdXllbiBWdWolChRzdWdnZXN0LmMyZ2J4dDV5cmQ0dhINSGFuaCBRdXllbiBWdWolChRzdWdnZXN0LnlsYnR0dGt6ZmtsbhINSGFuaCBRdXllbiBWdWolChRzdWdnZXN0LmJjOHJsbzY1bjMzaRINSGFuaCBRdXllbiBWdWolChRzdWdnZXN0LmI1azVvd3F1cm05dRINSGFuaCBRdXllbiBWdWolChRzdWdnZXN0LmFhdnVlcHl2YXZrYhINSGFuaCBRdXllbiBWdWolChRzdWdnZXN0LjIzbmEwcWo1YXMyYhINSGFuaCBRdXllbiBWdWolChRzdWdnZXN0LmF0NHc1NW1oNTEwaRINSGFuaCBRdXllbiBWdWolChRzdWdnZXN0Lm4wcDNpZDhkMnAzMxINSGFuaCBRdXllbiBWdWolChRzdWdnZXN0LmZpc2JoeHYycGxzMhINSGFuaCBRdXllbiBWdWolChRzdWdnZXN0LmNzdDdrYnVkc3o2MxINSGFuaCBRdXllbiBWdWokChNzdWdnZXN0LmY4M2NnZGhxb2M0Eg1IYW5oIFF1eWVuIFZ1aiUKFHN1Z2dlc3QuanhqaTdva2MzZzJmEg1IYW5oIFF1eWVuIFZ1aiUKFHN1Z2dlc3QuanJkazVoMjAwYTZuEg1IYW5oIFF1eWVuIFZ1aiUKFHN1Z2dlc3QudXc4enVpNWxxNjNoEg1IYW5oIFF1eWVuIFZ1aiUKFHN1Z2dlc3QueXRhd3h2YWJmbnRiEg1IYW5oIFF1eWVuIFZ1aiUKFHN1Z2dlc3QuMXE1OWtmNm4zOWZ0Eg1IYW5oIFF1eWVuIFZ1aiUKFHN1Z2dlc3QuMjEyNTB2cGhocHdpEg1IYW5oIFF1eWVuIFZ1aiUKFHN1Z2dlc3Qud3pxbG5meTdxNnplEg1IYW5oIFF1eWVuIFZ1aiUKFHN1Z2dlc3QuejZkcDU1MjRmbnNmEg1IYW5oIFF1eWVuIFZ1aiUKFHN1Z2dlc3QuY296aHJsOTUyMGZyEg1IYW5oIFF1eWVuIFZ1aiUKFHN1Z2dlc3QuOWk2bmMxZW9xZmllEg1IYW5oIFF1eWVuIFZ1aiQKE3N1Z2dlc3QucGplMGF2cG80NWwSDUhhbmggUXV5ZW4gVnVqJQoUc3VnZ2VzdC5jY3FiZ3lqYzZjYzkSDUhhbmggUXV5ZW4gVnVqJQoUc3VnZ2VzdC5rODAwaG9remFkM2wSDUhhbmggUXV5ZW4gVnVqJQoUc3VnZ2VzdC43amx3NmR3enRmaWUSDUhhbmggUXV5ZW4gVnVqJQoUc3VnZ2VzdC5tcGRpb3c2aXF3d2USDUhhbmggUXV5ZW4gVnVqJQoUc3VnZ2VzdC5zbXNxMGY3bnAxNTkSDUhhbmggUXV5ZW4gVnVqJQoUc3VnZ2VzdC5pN3V2emV1c3FnaGwSDUhhbmggUXV5ZW4gVnVqJQoUc3VnZ2VzdC5obnlsN2VyOGNnaHoSDUhhbmggUXV5ZW4gVnVqJQoUc3VnZ2VzdC5lZ2dpcHo2emdicnUSDUhhbmggUXV5ZW4gVnVqJQoUc3VnZ2VzdC52MmptNjNpcXU0OHkSDUhhbmggUXV5ZW4gVnVqJQoUc3VnZ2VzdC5qZGZkY2c1YjduYTgSDUhhbmggUXV5ZW4gVnVqJQoUc3VnZ2VzdC5sbGRiOXFwbGNja2YSDUhhbmggUXV5ZW4gVnVqJQoUc3VnZ2VzdC44OTljdzF1ZW1xaDESDUhhbmggUXV5ZW4gVnVqJQoUc3VnZ2VzdC5xYTl0YmV4aGgxdXgSDUhhbmggUXV5ZW4gVnVqJQoUc3VnZ2VzdC5wdHpzZDI1dHUwazQSDUhhbmggUXV5ZW4gVnVqJQoUc3VnZ2VzdC40MDZ1Zno1ZjFhczUSDUhhbmggUXV5ZW4gVnVqJQoUc3VnZ2VzdC5xNmwxaHl5YmVleGUSDUhhbmggUXV5ZW4gVnVyITF6MHhJeHlLcVhVU2ktV09DMkNYd2JrZGFHajhubWtrRg==</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datastoreItem>
</file>

<file path=customXml/itemProps2.xml><?xml version="1.0" encoding="utf-8"?>
<ds:datastoreItem xmlns:ds="http://schemas.openxmlformats.org/officeDocument/2006/customXml" ds:itemID="{AA95CACB-EFA8-47C7-86DA-E56856D47184}">
  <ds:schemaRefs/>
</ds:datastoreItem>
</file>

<file path=docProps/app.xml><?xml version="1.0" encoding="utf-8"?>
<Properties xmlns="http://schemas.openxmlformats.org/officeDocument/2006/extended-properties" xmlns:vt="http://schemas.openxmlformats.org/officeDocument/2006/docPropsVTypes">
  <Template>Normal.dotm</Template>
  <Pages>121</Pages>
  <Words>26352</Words>
  <Characters>150210</Characters>
  <Lines>1251</Lines>
  <Paragraphs>352</Paragraphs>
  <TotalTime>1</TotalTime>
  <ScaleCrop>false</ScaleCrop>
  <LinksUpToDate>false</LinksUpToDate>
  <CharactersWithSpaces>176210</CharactersWithSpaces>
  <Application>WPS Office_12.2.0.22549_F1E327BC-269C-435d-A152-05C5408002CA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2026-07-16T04:26:00Z</dcterms:created>
  <dc:creator>ChuyenVien-PC</dc:creator>
  <cp:lastModifiedBy>Minh Hoàng Nguyễn</cp:lastModifiedBy>
  <dcterms:modified xsi:type="dcterms:W3CDTF">2026-08-01T05:14:58Z</dcterms:modified>
  <cp:revision>200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1033-12.2.0.22549</vt:lpwstr>
  </property>
  <property fmtid="{D5CDD505-2E9C-101B-9397-08002B2CF9AE}" pid="3" name="ICV">
    <vt:lpwstr>4FD521CB650746799FA9C6D70049F398_13</vt:lpwstr>
  </property>
  <property fmtid="{D5CDD505-2E9C-101B-9397-08002B2CF9AE}" pid="4" name="KSOTemplateDocerSaveRecord">
    <vt:lpwstr>eyJoZGlkIjoiMzQzZTVhYjI0MTc2YmI1ZmYyYzBlMGFjMmY0OTFmODEifQ==</vt:lpwstr>
  </property>
</Properties>
</file>